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72CE1" w14:textId="77777777" w:rsidR="000F378E" w:rsidRDefault="000F378E" w:rsidP="000F378E">
      <w:pPr>
        <w:spacing w:line="360" w:lineRule="auto"/>
        <w:jc w:val="center"/>
        <w:rPr>
          <w:rFonts w:ascii="Times New Roman" w:hAnsi="Times New Roman" w:cs="Times New Roman"/>
          <w:color w:val="000000" w:themeColor="text1"/>
          <w:shd w:val="clear" w:color="auto" w:fill="FFFFFF"/>
        </w:rPr>
      </w:pPr>
    </w:p>
    <w:p w14:paraId="61CECEDE" w14:textId="77777777" w:rsidR="000F378E" w:rsidRDefault="000F378E" w:rsidP="000F378E">
      <w:pPr>
        <w:spacing w:line="360" w:lineRule="auto"/>
        <w:jc w:val="center"/>
        <w:rPr>
          <w:rFonts w:ascii="Times New Roman" w:hAnsi="Times New Roman" w:cs="Times New Roman"/>
          <w:color w:val="000000" w:themeColor="text1"/>
          <w:shd w:val="clear" w:color="auto" w:fill="FFFFFF"/>
        </w:rPr>
      </w:pPr>
    </w:p>
    <w:p w14:paraId="021FEAAD" w14:textId="77777777" w:rsidR="000F378E" w:rsidRDefault="000F378E" w:rsidP="000F378E">
      <w:pPr>
        <w:spacing w:line="360" w:lineRule="auto"/>
        <w:jc w:val="center"/>
        <w:rPr>
          <w:rFonts w:ascii="Times New Roman" w:hAnsi="Times New Roman" w:cs="Times New Roman"/>
          <w:color w:val="000000" w:themeColor="text1"/>
          <w:shd w:val="clear" w:color="auto" w:fill="FFFFFF"/>
        </w:rPr>
      </w:pPr>
    </w:p>
    <w:p w14:paraId="052DB645" w14:textId="77777777" w:rsidR="000F378E" w:rsidRDefault="000F378E" w:rsidP="000F378E">
      <w:pPr>
        <w:spacing w:line="360" w:lineRule="auto"/>
        <w:jc w:val="center"/>
        <w:rPr>
          <w:rFonts w:ascii="Times New Roman" w:hAnsi="Times New Roman" w:cs="Times New Roman"/>
          <w:color w:val="000000" w:themeColor="text1"/>
          <w:shd w:val="clear" w:color="auto" w:fill="FFFFFF"/>
        </w:rPr>
      </w:pPr>
    </w:p>
    <w:p w14:paraId="7810303C" w14:textId="77777777" w:rsidR="000F378E" w:rsidRDefault="000F378E" w:rsidP="000F378E">
      <w:pPr>
        <w:spacing w:line="360" w:lineRule="auto"/>
        <w:jc w:val="center"/>
        <w:rPr>
          <w:rFonts w:ascii="Times New Roman" w:hAnsi="Times New Roman" w:cs="Times New Roman"/>
          <w:color w:val="000000" w:themeColor="text1"/>
          <w:shd w:val="clear" w:color="auto" w:fill="FFFFFF"/>
        </w:rPr>
      </w:pPr>
    </w:p>
    <w:p w14:paraId="3C349B25" w14:textId="77777777" w:rsidR="000F378E" w:rsidRDefault="000F378E" w:rsidP="000F378E">
      <w:pPr>
        <w:spacing w:line="360" w:lineRule="auto"/>
        <w:jc w:val="center"/>
        <w:rPr>
          <w:rFonts w:ascii="Times New Roman" w:hAnsi="Times New Roman" w:cs="Times New Roman"/>
          <w:color w:val="000000" w:themeColor="text1"/>
          <w:shd w:val="clear" w:color="auto" w:fill="FFFFFF"/>
        </w:rPr>
      </w:pPr>
    </w:p>
    <w:p w14:paraId="666B3165" w14:textId="201762C3" w:rsidR="00EC7F50" w:rsidRPr="000F378E" w:rsidRDefault="00EC7F50" w:rsidP="000F378E">
      <w:pPr>
        <w:spacing w:line="360" w:lineRule="auto"/>
        <w:jc w:val="center"/>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MKTG 375 International Transactions Research</w:t>
      </w:r>
    </w:p>
    <w:p w14:paraId="060C836A" w14:textId="56419FF3" w:rsidR="000F378E" w:rsidRPr="000F378E" w:rsidRDefault="000F378E" w:rsidP="000F378E">
      <w:pPr>
        <w:spacing w:line="360" w:lineRule="auto"/>
        <w:jc w:val="center"/>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[Name]</w:t>
      </w:r>
    </w:p>
    <w:p w14:paraId="2EA20C83" w14:textId="2EA5C2E0" w:rsidR="000F378E" w:rsidRPr="000F378E" w:rsidRDefault="000F378E" w:rsidP="000F378E">
      <w:pPr>
        <w:spacing w:line="360" w:lineRule="auto"/>
        <w:jc w:val="center"/>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[Institution affiliation]</w:t>
      </w:r>
    </w:p>
    <w:p w14:paraId="2831DDF3" w14:textId="2E7C0C4A" w:rsidR="000F378E" w:rsidRPr="000F378E" w:rsidRDefault="000F378E" w:rsidP="000F378E">
      <w:pPr>
        <w:spacing w:line="360" w:lineRule="auto"/>
        <w:jc w:val="center"/>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[Course]</w:t>
      </w:r>
    </w:p>
    <w:p w14:paraId="5B04AB84" w14:textId="462BF0A7" w:rsidR="000F378E" w:rsidRPr="000F378E" w:rsidRDefault="000F378E" w:rsidP="000F378E">
      <w:pPr>
        <w:spacing w:line="360" w:lineRule="auto"/>
        <w:jc w:val="center"/>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[Date]</w:t>
      </w:r>
    </w:p>
    <w:p w14:paraId="6E21CD13"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268A6E8F"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134074E1"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1FB3CFE7"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18B16D14"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79EAD45A"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279ED7EB"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66A58F3F"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464C290B"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17A74B13"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4A1984B3"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5EBE5DBF"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758F5675"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7CCDAC05" w14:textId="481F5868" w:rsidR="00EC7F50" w:rsidRPr="000F378E" w:rsidRDefault="00EC7F50" w:rsidP="000F378E">
      <w:pPr>
        <w:spacing w:line="360" w:lineRule="auto"/>
        <w:jc w:val="center"/>
        <w:rPr>
          <w:rFonts w:ascii="Times New Roman" w:hAnsi="Times New Roman" w:cs="Times New Roman"/>
          <w:b/>
          <w:bCs/>
          <w:color w:val="000000" w:themeColor="text1"/>
          <w:shd w:val="clear" w:color="auto" w:fill="FFFFFF"/>
        </w:rPr>
      </w:pPr>
      <w:r w:rsidRPr="000F378E">
        <w:rPr>
          <w:rFonts w:ascii="Times New Roman" w:hAnsi="Times New Roman" w:cs="Times New Roman"/>
          <w:b/>
          <w:bCs/>
          <w:color w:val="000000" w:themeColor="text1"/>
          <w:shd w:val="clear" w:color="auto" w:fill="FFFFFF"/>
        </w:rPr>
        <w:lastRenderedPageBreak/>
        <w:t>A plan to Establish an FDI (foreign direct investment) in China in the Automotive Industry</w:t>
      </w:r>
    </w:p>
    <w:p w14:paraId="3B8DA5C0" w14:textId="62DC6845" w:rsidR="00EC7F50" w:rsidRPr="000F378E" w:rsidRDefault="00EC7F50" w:rsidP="000F378E">
      <w:pPr>
        <w:pStyle w:val="ListParagraph"/>
        <w:numPr>
          <w:ilvl w:val="0"/>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shd w:val="clear" w:color="auto" w:fill="FFFFFF"/>
        </w:rPr>
        <w:t>Executive Summary</w:t>
      </w:r>
    </w:p>
    <w:p w14:paraId="74637831" w14:textId="77777777" w:rsidR="0024238A" w:rsidRPr="000F378E" w:rsidRDefault="00EC7F50"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Research shows that every International Transaction typically involves some Foreign Direct Investment (FDI) level. Therefore, given the development of economic globalization and multinational enterprises, FDI studies have shown some significant improvements in management, financial, and economic aspects since the 1960s. Over the last 20 years, FDI has been beyond other international transactions like the world trade and world output flows. With more multinational enterprises exploring each international investment opportunity, FDI has been transforming into a significant economic growth source in both the developed and the developing nations. Consequently, most nations have been taking varying measures into attracting the foreign investment.</w:t>
      </w:r>
      <w:r w:rsidR="005411EE" w:rsidRPr="000F378E">
        <w:rPr>
          <w:rFonts w:ascii="Times New Roman" w:hAnsi="Times New Roman" w:cs="Times New Roman"/>
          <w:color w:val="000000" w:themeColor="text1"/>
        </w:rPr>
        <w:t xml:space="preserve"> </w:t>
      </w:r>
    </w:p>
    <w:p w14:paraId="677056A8" w14:textId="2706F134" w:rsidR="00EC7F50" w:rsidRPr="000F378E" w:rsidRDefault="005411EE"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The report aims at establishing a plan to start a foreign direct investment in China in the Automotive Industry. Therefore, the study focuses on the recent empirical literature on what determines the FDI decisions as well as the effects of FDI inflows on the economies of two host countries (China &amp; USA). </w:t>
      </w:r>
      <w:r w:rsidR="00FD0891" w:rsidRPr="000F378E">
        <w:rPr>
          <w:rFonts w:ascii="Times New Roman" w:hAnsi="Times New Roman" w:cs="Times New Roman"/>
          <w:color w:val="000000" w:themeColor="text1"/>
        </w:rPr>
        <w:t xml:space="preserve">This plan is based on an analysis of the influences resulting from individual factors like labor, market, and exchange rate, and also the general factors employing multivariate models in testing the significant aspects for FDI decisions as well as effects. Regarding the FDI determinants, the most significant question is what will motivate our company to have an automotive investment in China and the FDI impacts on the US market- the home country. The imperfect market is a fundamental reason and basis for the company to invest in China directly. Notably, the FDI motivations are of two types: the market seeking FDI for seeking market in the host nation and avoiding </w:t>
      </w:r>
      <w:r w:rsidR="0024238A" w:rsidRPr="000F378E">
        <w:rPr>
          <w:rFonts w:ascii="Times New Roman" w:hAnsi="Times New Roman" w:cs="Times New Roman"/>
          <w:color w:val="000000" w:themeColor="text1"/>
        </w:rPr>
        <w:t xml:space="preserve">trade fictions, and the resource seeking FDI that access low resources like infrastructure, labor, and natural resources in the host country. </w:t>
      </w:r>
    </w:p>
    <w:p w14:paraId="5060260A" w14:textId="0C764D62" w:rsidR="0024238A" w:rsidRPr="000F378E" w:rsidRDefault="0024238A"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The elements likely to impact how FDI behaves feature internal aspects like the characteristics of a company- ownerships, managerial skills, and technologies, among others- and the external aspects like the exchange rates. The study will use the eclectic theory in explaining most of the international economic processes like the FDI emergence, choice of location, and the mode to market entry. </w:t>
      </w:r>
      <w:r w:rsidR="00015BD0" w:rsidRPr="000F378E">
        <w:rPr>
          <w:rFonts w:ascii="Times New Roman" w:hAnsi="Times New Roman" w:cs="Times New Roman"/>
          <w:color w:val="000000" w:themeColor="text1"/>
        </w:rPr>
        <w:t xml:space="preserve">Regarding the external analysis, the plan will be based on an analysis of tax and exchange rates to help the company make foreign direct investment decision in China’s Automotive Industry, specializing with manufacture of electric vehicles. </w:t>
      </w:r>
    </w:p>
    <w:p w14:paraId="31835543" w14:textId="2A996789" w:rsidR="00015BD0" w:rsidRPr="000F378E" w:rsidRDefault="00015BD0" w:rsidP="000F378E">
      <w:pPr>
        <w:pStyle w:val="ListParagraph"/>
        <w:numPr>
          <w:ilvl w:val="0"/>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Company Overview</w:t>
      </w:r>
    </w:p>
    <w:p w14:paraId="023005E1" w14:textId="07FF1AE2" w:rsidR="00015BD0" w:rsidRPr="000F378E" w:rsidRDefault="00E05368" w:rsidP="000F378E">
      <w:pPr>
        <w:spacing w:line="360" w:lineRule="auto"/>
        <w:jc w:val="both"/>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rPr>
        <w:t xml:space="preserve">Environmental-Friendly Motors is a private-listed corporation held in Michigan and it was founded by James Scott. The owner holds the majority shares, whereby there are members from the board of directors </w:t>
      </w:r>
      <w:r w:rsidRPr="000F378E">
        <w:rPr>
          <w:rFonts w:ascii="Times New Roman" w:hAnsi="Times New Roman" w:cs="Times New Roman"/>
          <w:color w:val="000000" w:themeColor="text1"/>
        </w:rPr>
        <w:lastRenderedPageBreak/>
        <w:t xml:space="preserve">holding minority stock shares. The firm was created as a consumer-oriented as well as an environmentally-friendly partnership that emphasized on the consumer education to distance itself from the little environmentally-focused collaborations. Our investment will be around $5.178 million for dealership construction, legal costs, creating websites, consulting costs, </w:t>
      </w:r>
      <w:r w:rsidR="0019431C" w:rsidRPr="000F378E">
        <w:rPr>
          <w:rFonts w:ascii="Times New Roman" w:hAnsi="Times New Roman" w:cs="Times New Roman"/>
          <w:color w:val="000000" w:themeColor="text1"/>
        </w:rPr>
        <w:t>and logistics</w:t>
      </w:r>
      <w:r w:rsidRPr="000F378E">
        <w:rPr>
          <w:rFonts w:ascii="Times New Roman" w:hAnsi="Times New Roman" w:cs="Times New Roman"/>
          <w:color w:val="000000" w:themeColor="text1"/>
        </w:rPr>
        <w:t xml:space="preserve"> costs, among other aspects.</w:t>
      </w:r>
      <w:r w:rsidR="0019431C" w:rsidRPr="000F378E">
        <w:rPr>
          <w:rFonts w:ascii="Times New Roman" w:hAnsi="Times New Roman" w:cs="Times New Roman"/>
          <w:color w:val="000000" w:themeColor="text1"/>
        </w:rPr>
        <w:t xml:space="preserve"> </w:t>
      </w:r>
      <w:r w:rsidRPr="000F378E">
        <w:rPr>
          <w:rFonts w:ascii="Times New Roman" w:hAnsi="Times New Roman" w:cs="Times New Roman"/>
          <w:color w:val="000000" w:themeColor="text1"/>
        </w:rPr>
        <w:t xml:space="preserve">The firm will be dealing with the manufacture of electrical motors and we aim to have </w:t>
      </w:r>
      <w:r w:rsidR="0019431C" w:rsidRPr="000F378E">
        <w:rPr>
          <w:rFonts w:ascii="Times New Roman" w:hAnsi="Times New Roman" w:cs="Times New Roman"/>
          <w:color w:val="000000" w:themeColor="text1"/>
        </w:rPr>
        <w:t xml:space="preserve">an annual production of 10,000 vehicles, with 50% being sold in China and the other 50% to be exported to the US market and sold to both Tesla and General Motors companies. We will initially develop a Wholly owned Foreign Enterprise (WOFE) in China in a 3-month period to be secure. After proving ourselves, we will be a fully China Domestic Company. As earlier stated, our operation will involve producing electrical motors for the expanding automotive section, with 50% of our production aimed at the Chinese domestic market, while the other will be aimed at the US market. Our unit selling price will be $200 USD, </w:t>
      </w:r>
      <w:r w:rsidR="0019431C" w:rsidRPr="000F378E">
        <w:rPr>
          <w:rFonts w:ascii="Times New Roman" w:hAnsi="Times New Roman" w:cs="Times New Roman"/>
          <w:color w:val="000000" w:themeColor="text1"/>
          <w:shd w:val="clear" w:color="auto" w:fill="FFFFFF"/>
        </w:rPr>
        <w:t>Unit cost is $100 Ex-works China Container is 20', with cost of $4200 paid to Freight Broker assuming 1,000 units / container.</w:t>
      </w:r>
    </w:p>
    <w:p w14:paraId="15A4EBF1" w14:textId="3F926D9A" w:rsidR="0019431C" w:rsidRPr="000F378E" w:rsidRDefault="0019431C" w:rsidP="000F378E">
      <w:pPr>
        <w:pStyle w:val="ListParagraph"/>
        <w:numPr>
          <w:ilvl w:val="0"/>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Market Overview</w:t>
      </w:r>
    </w:p>
    <w:p w14:paraId="4B104BE8" w14:textId="2AE693BD" w:rsidR="00AA64A5" w:rsidRPr="000F378E" w:rsidRDefault="0076214E"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The World Investment Report (2020) shows that FDI inflows had been constantly increasing </w:t>
      </w:r>
      <w:r w:rsidR="00907A3C" w:rsidRPr="000F378E">
        <w:rPr>
          <w:rFonts w:ascii="Times New Roman" w:hAnsi="Times New Roman" w:cs="Times New Roman"/>
          <w:color w:val="000000" w:themeColor="text1"/>
        </w:rPr>
        <w:t xml:space="preserve">by 2% ($138 to $140 billion) between FY-2018 &amp; FY-2019. Such an expansion had been facilitated by the liberalization strategies, the high-tech sector’s rapid development, and the development of the free </w:t>
      </w:r>
      <w:r w:rsidR="002A4D0B" w:rsidRPr="000F378E">
        <w:rPr>
          <w:rFonts w:ascii="Times New Roman" w:hAnsi="Times New Roman" w:cs="Times New Roman"/>
          <w:color w:val="000000" w:themeColor="text1"/>
        </w:rPr>
        <w:t>trade</w:t>
      </w:r>
      <w:r w:rsidR="00907A3C" w:rsidRPr="000F378E">
        <w:rPr>
          <w:rFonts w:ascii="Times New Roman" w:hAnsi="Times New Roman" w:cs="Times New Roman"/>
          <w:color w:val="000000" w:themeColor="text1"/>
        </w:rPr>
        <w:t xml:space="preserve"> zones. In FY-2019, the FDI stock was at </w:t>
      </w:r>
      <w:r w:rsidR="002A4D0B" w:rsidRPr="000F378E">
        <w:rPr>
          <w:rFonts w:ascii="Times New Roman" w:hAnsi="Times New Roman" w:cs="Times New Roman"/>
          <w:color w:val="000000" w:themeColor="text1"/>
        </w:rPr>
        <w:t xml:space="preserve">$1,769 billion, reflecting an exponential expansion relative to the $587 billion FDI stock in FY-2010. In 2019, China became the second largest FDI recipient in the world after the US and before Singapore. </w:t>
      </w:r>
      <w:r w:rsidR="006F59EA" w:rsidRPr="000F378E">
        <w:rPr>
          <w:rFonts w:ascii="Times New Roman" w:hAnsi="Times New Roman" w:cs="Times New Roman"/>
          <w:color w:val="000000" w:themeColor="text1"/>
        </w:rPr>
        <w:t xml:space="preserve">This means that China is the largest </w:t>
      </w:r>
      <w:r w:rsidR="00AA64A5" w:rsidRPr="000F378E">
        <w:rPr>
          <w:rFonts w:ascii="Times New Roman" w:hAnsi="Times New Roman" w:cs="Times New Roman"/>
          <w:color w:val="000000" w:themeColor="text1"/>
        </w:rPr>
        <w:t>recipient</w:t>
      </w:r>
      <w:r w:rsidR="006F59EA" w:rsidRPr="000F378E">
        <w:rPr>
          <w:rFonts w:ascii="Times New Roman" w:hAnsi="Times New Roman" w:cs="Times New Roman"/>
          <w:color w:val="000000" w:themeColor="text1"/>
        </w:rPr>
        <w:t xml:space="preserve"> across the Asian continent</w:t>
      </w:r>
      <w:r w:rsidR="00AA64A5" w:rsidRPr="000F378E">
        <w:rPr>
          <w:rFonts w:ascii="Times New Roman" w:hAnsi="Times New Roman" w:cs="Times New Roman"/>
          <w:color w:val="000000" w:themeColor="text1"/>
        </w:rPr>
        <w:t>, with a sustainable growth because of projects’ implementations and production investments’’ expansion with the like of BASF (Germany), Tesla (USA), Exxon Mobil (USA), Daimler &amp; Volkswagen (German), and Toyota (Japan)</w:t>
      </w:r>
      <w:r w:rsidR="00A421D4" w:rsidRPr="000F378E">
        <w:rPr>
          <w:rFonts w:ascii="Times New Roman" w:hAnsi="Times New Roman" w:cs="Times New Roman"/>
          <w:color w:val="000000" w:themeColor="text1"/>
        </w:rPr>
        <w:t xml:space="preserve"> (</w:t>
      </w:r>
      <w:r w:rsidR="00A421D4" w:rsidRPr="000F378E">
        <w:rPr>
          <w:rFonts w:ascii="Times New Roman" w:hAnsi="Times New Roman" w:cs="Times New Roman"/>
        </w:rPr>
        <w:t>Agosin</w:t>
      </w:r>
      <w:r w:rsidR="00A421D4" w:rsidRPr="000F378E">
        <w:rPr>
          <w:rFonts w:ascii="Times New Roman" w:hAnsi="Times New Roman" w:cs="Times New Roman"/>
        </w:rPr>
        <w:t xml:space="preserve"> </w:t>
      </w:r>
      <w:r w:rsidR="00A421D4" w:rsidRPr="000F378E">
        <w:rPr>
          <w:rFonts w:ascii="Times New Roman" w:hAnsi="Times New Roman" w:cs="Times New Roman"/>
        </w:rPr>
        <w:t>and</w:t>
      </w:r>
      <w:r w:rsidR="00A421D4" w:rsidRPr="000F378E">
        <w:rPr>
          <w:rFonts w:ascii="Times New Roman" w:hAnsi="Times New Roman" w:cs="Times New Roman"/>
        </w:rPr>
        <w:t xml:space="preserve"> </w:t>
      </w:r>
      <w:r w:rsidR="00A421D4" w:rsidRPr="000F378E">
        <w:rPr>
          <w:rFonts w:ascii="Times New Roman" w:hAnsi="Times New Roman" w:cs="Times New Roman"/>
        </w:rPr>
        <w:t>Machado, 2015</w:t>
      </w:r>
      <w:r w:rsidR="00A421D4" w:rsidRPr="000F378E">
        <w:rPr>
          <w:rFonts w:ascii="Times New Roman" w:hAnsi="Times New Roman" w:cs="Times New Roman"/>
        </w:rPr>
        <w:t xml:space="preserve">). </w:t>
      </w:r>
      <w:r w:rsidR="00AA64A5" w:rsidRPr="000F378E">
        <w:rPr>
          <w:rFonts w:ascii="Times New Roman" w:hAnsi="Times New Roman" w:cs="Times New Roman"/>
          <w:color w:val="000000" w:themeColor="text1"/>
        </w:rPr>
        <w:t xml:space="preserve">The primary investors for China had been broadly stable. In contrast, US’s FDI inflows had been dropping, with regional investments continuing to expand as the FDI flows across the ASEAN nations continue growing. Therefore, Singapore, Hong Kong, South Korea, Japan, United States, Germany, the Cayman Islands, and the Virgil Islands remain to be the major investors in China. However, such investments are often oriented into real estate, manufacturing, computer services, retail trading, scientific research, energy, transport, construction, both retail &amp; wholesale trade, and leasing services. </w:t>
      </w:r>
    </w:p>
    <w:p w14:paraId="6F839338" w14:textId="71FC9891" w:rsidR="0076214E" w:rsidRPr="000F378E" w:rsidRDefault="00AA64A5"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According </w:t>
      </w:r>
      <w:r w:rsidR="00E55622" w:rsidRPr="000F378E">
        <w:rPr>
          <w:rFonts w:ascii="Times New Roman" w:hAnsi="Times New Roman" w:cs="Times New Roman"/>
          <w:color w:val="000000" w:themeColor="text1"/>
        </w:rPr>
        <w:t>to</w:t>
      </w:r>
      <w:r w:rsidRPr="000F378E">
        <w:rPr>
          <w:rFonts w:ascii="Times New Roman" w:hAnsi="Times New Roman" w:cs="Times New Roman"/>
          <w:color w:val="000000" w:themeColor="text1"/>
        </w:rPr>
        <w:t xml:space="preserve"> a report of</w:t>
      </w:r>
      <w:r w:rsidR="00E55622" w:rsidRPr="000F378E">
        <w:rPr>
          <w:rFonts w:ascii="Times New Roman" w:hAnsi="Times New Roman" w:cs="Times New Roman"/>
          <w:color w:val="000000" w:themeColor="text1"/>
        </w:rPr>
        <w:t xml:space="preserve"> World Bank’s</w:t>
      </w:r>
      <w:r w:rsidRPr="000F378E">
        <w:rPr>
          <w:rFonts w:ascii="Times New Roman" w:hAnsi="Times New Roman" w:cs="Times New Roman"/>
          <w:color w:val="000000" w:themeColor="text1"/>
        </w:rPr>
        <w:t xml:space="preserve"> Doing Business (2020), China is </w:t>
      </w:r>
      <w:r w:rsidR="00E55622" w:rsidRPr="000F378E">
        <w:rPr>
          <w:rFonts w:ascii="Times New Roman" w:hAnsi="Times New Roman" w:cs="Times New Roman"/>
          <w:color w:val="000000" w:themeColor="text1"/>
        </w:rPr>
        <w:t xml:space="preserve">position 31 out of the 190 nations in the world in 2020. This shows a significant improvement compared the last year whereby the country was at position 46 out of the same. China was named as among the top-ten most improving economies between the FY-1019 and FY-2020, with such progress reflecting improvement across a large scope of subcomponents that ranged from starting business processes to the electricity access improvement measures </w:t>
      </w:r>
      <w:r w:rsidR="00E55622" w:rsidRPr="000F378E">
        <w:rPr>
          <w:rFonts w:ascii="Times New Roman" w:hAnsi="Times New Roman" w:cs="Times New Roman"/>
          <w:color w:val="000000" w:themeColor="text1"/>
        </w:rPr>
        <w:lastRenderedPageBreak/>
        <w:t>and getting the construction permits. China had been demonstrating reform policies that are aimed into improving the business environment’s regulatory over a couple of years. These reforms are mainly focused on increasing the business processes’ efficiency like trading with tariff cuts, tax cuts, and reducing the foreign investors’ barriers</w:t>
      </w:r>
      <w:r w:rsidR="000F378E" w:rsidRPr="000F378E">
        <w:rPr>
          <w:rFonts w:ascii="Times New Roman" w:hAnsi="Times New Roman" w:cs="Times New Roman"/>
          <w:color w:val="000000" w:themeColor="text1"/>
        </w:rPr>
        <w:t xml:space="preserve"> (</w:t>
      </w:r>
      <w:r w:rsidR="000F378E" w:rsidRPr="000F378E">
        <w:rPr>
          <w:rFonts w:ascii="Times New Roman" w:hAnsi="Times New Roman" w:cs="Times New Roman"/>
        </w:rPr>
        <w:t>Buckley</w:t>
      </w:r>
      <w:r w:rsidR="000F378E" w:rsidRPr="000F378E">
        <w:rPr>
          <w:rFonts w:ascii="Times New Roman" w:hAnsi="Times New Roman" w:cs="Times New Roman"/>
        </w:rPr>
        <w:t xml:space="preserve"> </w:t>
      </w:r>
      <w:r w:rsidR="000F378E" w:rsidRPr="000F378E">
        <w:rPr>
          <w:rFonts w:ascii="Times New Roman" w:hAnsi="Times New Roman" w:cs="Times New Roman"/>
        </w:rPr>
        <w:t>and</w:t>
      </w:r>
      <w:r w:rsidR="000F378E" w:rsidRPr="000F378E">
        <w:rPr>
          <w:rFonts w:ascii="Times New Roman" w:hAnsi="Times New Roman" w:cs="Times New Roman"/>
        </w:rPr>
        <w:t xml:space="preserve"> </w:t>
      </w:r>
      <w:r w:rsidR="000F378E" w:rsidRPr="000F378E">
        <w:rPr>
          <w:rFonts w:ascii="Times New Roman" w:hAnsi="Times New Roman" w:cs="Times New Roman"/>
        </w:rPr>
        <w:t>Casson,</w:t>
      </w:r>
      <w:r w:rsidR="000F378E" w:rsidRPr="000F378E">
        <w:rPr>
          <w:rFonts w:ascii="Times New Roman" w:hAnsi="Times New Roman" w:cs="Times New Roman"/>
        </w:rPr>
        <w:t xml:space="preserve"> </w:t>
      </w:r>
      <w:r w:rsidR="000F378E" w:rsidRPr="000F378E">
        <w:rPr>
          <w:rFonts w:ascii="Times New Roman" w:hAnsi="Times New Roman" w:cs="Times New Roman"/>
        </w:rPr>
        <w:t xml:space="preserve">2005). </w:t>
      </w:r>
      <w:r w:rsidR="00E55622" w:rsidRPr="000F378E">
        <w:rPr>
          <w:rFonts w:ascii="Times New Roman" w:hAnsi="Times New Roman" w:cs="Times New Roman"/>
          <w:color w:val="000000" w:themeColor="text1"/>
        </w:rPr>
        <w:t xml:space="preserve"> In an aim to attracting further foreign investments, China had been introducing </w:t>
      </w:r>
      <w:r w:rsidR="00D31337" w:rsidRPr="000F378E">
        <w:rPr>
          <w:rFonts w:ascii="Times New Roman" w:hAnsi="Times New Roman" w:cs="Times New Roman"/>
          <w:color w:val="000000" w:themeColor="text1"/>
        </w:rPr>
        <w:t>policies for improving the delivery of significant foreign investment projects, reducing import tariffs, streamlining the customs’ clearance, and establishing online filing systems for FDI regulating. China has a wealth of workers as well as potential partners who are willing to learn and evolve, making the nation a low-cost production base that attracts a market for both local and foreign investors. Notwithstanding, various aspects also hinder investments in China like the lack of transparency in the country, legal uncertainties, low intellectual property rights’ protection level, and protectionist or corruption measures favoring the local businesses only</w:t>
      </w:r>
      <w:r w:rsidR="000F378E" w:rsidRPr="000F378E">
        <w:rPr>
          <w:rFonts w:ascii="Times New Roman" w:hAnsi="Times New Roman" w:cs="Times New Roman"/>
          <w:color w:val="000000" w:themeColor="text1"/>
        </w:rPr>
        <w:t xml:space="preserve"> </w:t>
      </w:r>
      <w:r w:rsidR="000F378E" w:rsidRPr="000F378E">
        <w:rPr>
          <w:rFonts w:ascii="Times New Roman" w:hAnsi="Times New Roman" w:cs="Times New Roman"/>
          <w:color w:val="000000" w:themeColor="text1"/>
        </w:rPr>
        <w:t>(</w:t>
      </w:r>
      <w:r w:rsidR="000F378E" w:rsidRPr="000F378E">
        <w:rPr>
          <w:rFonts w:ascii="Times New Roman" w:hAnsi="Times New Roman" w:cs="Times New Roman"/>
        </w:rPr>
        <w:t xml:space="preserve">Buckley and Casson, 2005). </w:t>
      </w:r>
      <w:r w:rsidR="000F378E" w:rsidRPr="000F378E">
        <w:rPr>
          <w:rFonts w:ascii="Times New Roman" w:hAnsi="Times New Roman" w:cs="Times New Roman"/>
          <w:color w:val="000000" w:themeColor="text1"/>
        </w:rPr>
        <w:t xml:space="preserve"> </w:t>
      </w:r>
      <w:r w:rsidR="00D31337" w:rsidRPr="000F378E">
        <w:rPr>
          <w:rFonts w:ascii="Times New Roman" w:hAnsi="Times New Roman" w:cs="Times New Roman"/>
          <w:color w:val="000000" w:themeColor="text1"/>
        </w:rPr>
        <w:t>Figure one below shows how FDI inflows to the high technology section in China had been significantly rising and how they are currently accounting for like a third of the entire inflows:</w:t>
      </w:r>
    </w:p>
    <w:p w14:paraId="45B80ADF" w14:textId="6608377D" w:rsidR="00D31337" w:rsidRPr="000F378E" w:rsidRDefault="00D31337" w:rsidP="000F378E">
      <w:pPr>
        <w:spacing w:line="360" w:lineRule="auto"/>
        <w:jc w:val="both"/>
        <w:rPr>
          <w:rFonts w:ascii="Times New Roman" w:hAnsi="Times New Roman" w:cs="Times New Roman"/>
          <w:i/>
          <w:iCs/>
          <w:color w:val="000000" w:themeColor="text1"/>
          <w:u w:val="single"/>
        </w:rPr>
      </w:pPr>
      <w:r w:rsidRPr="000F378E">
        <w:rPr>
          <w:rFonts w:ascii="Times New Roman" w:hAnsi="Times New Roman" w:cs="Times New Roman"/>
          <w:i/>
          <w:iCs/>
          <w:color w:val="000000" w:themeColor="text1"/>
          <w:u w:val="single"/>
        </w:rPr>
        <w:t>Figure 1: FDI Inflows</w:t>
      </w:r>
    </w:p>
    <w:p w14:paraId="6445A8C0" w14:textId="35D1C1C8" w:rsidR="00D31337" w:rsidRPr="000F378E" w:rsidRDefault="00D31337"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noProof/>
          <w:color w:val="000000" w:themeColor="text1"/>
        </w:rPr>
        <w:drawing>
          <wp:inline distT="0" distB="0" distL="0" distR="0" wp14:anchorId="623DF362" wp14:editId="7DAEE617">
            <wp:extent cx="5695950" cy="1647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95950" cy="1647825"/>
                    </a:xfrm>
                    <a:prstGeom prst="rect">
                      <a:avLst/>
                    </a:prstGeom>
                  </pic:spPr>
                </pic:pic>
              </a:graphicData>
            </a:graphic>
          </wp:inline>
        </w:drawing>
      </w:r>
    </w:p>
    <w:p w14:paraId="4B03F74A" w14:textId="62527F48" w:rsidR="00BB5A62" w:rsidRPr="000F378E" w:rsidRDefault="00BB5A62" w:rsidP="000F378E">
      <w:pPr>
        <w:spacing w:line="360" w:lineRule="auto"/>
        <w:jc w:val="both"/>
        <w:rPr>
          <w:rFonts w:ascii="Times New Roman" w:hAnsi="Times New Roman" w:cs="Times New Roman"/>
          <w:i/>
          <w:iCs/>
          <w:color w:val="000000" w:themeColor="text1"/>
          <w:shd w:val="clear" w:color="auto" w:fill="FFFFFF"/>
        </w:rPr>
      </w:pPr>
      <w:r w:rsidRPr="000F378E">
        <w:rPr>
          <w:rFonts w:ascii="Times New Roman" w:hAnsi="Times New Roman" w:cs="Times New Roman"/>
          <w:i/>
          <w:iCs/>
          <w:color w:val="000000" w:themeColor="text1"/>
          <w:shd w:val="clear" w:color="auto" w:fill="FFFFFF"/>
        </w:rPr>
        <w:t>Source: UNCTAD, Latest available data.</w:t>
      </w:r>
    </w:p>
    <w:p w14:paraId="11E9E87E" w14:textId="4480BAE0" w:rsidR="00BB5A62" w:rsidRPr="000F378E" w:rsidRDefault="00BB5A62" w:rsidP="000F378E">
      <w:pPr>
        <w:spacing w:line="360" w:lineRule="auto"/>
        <w:jc w:val="both"/>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 xml:space="preserve">From the above data, it is good to understand that the Greenfield Investments are a type of FDI whereby a parent firm stars a new venture in a foreign nation by building the new facilities for operation from the ground going up. </w:t>
      </w:r>
    </w:p>
    <w:p w14:paraId="198E05AF" w14:textId="467B33F4" w:rsidR="00016772" w:rsidRPr="000F378E" w:rsidRDefault="00016772" w:rsidP="000F378E">
      <w:pPr>
        <w:spacing w:line="360" w:lineRule="auto"/>
        <w:jc w:val="both"/>
        <w:rPr>
          <w:rFonts w:ascii="Times New Roman" w:hAnsi="Times New Roman" w:cs="Times New Roman"/>
          <w:i/>
          <w:iCs/>
          <w:color w:val="000000" w:themeColor="text1"/>
          <w:u w:val="single"/>
          <w:shd w:val="clear" w:color="auto" w:fill="FFFFFF"/>
        </w:rPr>
      </w:pPr>
      <w:r w:rsidRPr="000F378E">
        <w:rPr>
          <w:rFonts w:ascii="Times New Roman" w:hAnsi="Times New Roman" w:cs="Times New Roman"/>
          <w:i/>
          <w:iCs/>
          <w:color w:val="000000" w:themeColor="text1"/>
          <w:u w:val="single"/>
          <w:shd w:val="clear" w:color="auto" w:fill="FFFFFF"/>
        </w:rPr>
        <w:t>Figure 2: Country Comparison for Investors Protection</w:t>
      </w:r>
    </w:p>
    <w:p w14:paraId="7F8502DC" w14:textId="51A435D7" w:rsidR="00016772" w:rsidRPr="000F378E" w:rsidRDefault="00016772"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noProof/>
          <w:color w:val="000000" w:themeColor="text1"/>
        </w:rPr>
        <w:lastRenderedPageBreak/>
        <w:drawing>
          <wp:inline distT="0" distB="0" distL="0" distR="0" wp14:anchorId="5CE3C53E" wp14:editId="2912CF37">
            <wp:extent cx="5648325" cy="1504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48325" cy="1504950"/>
                    </a:xfrm>
                    <a:prstGeom prst="rect">
                      <a:avLst/>
                    </a:prstGeom>
                  </pic:spPr>
                </pic:pic>
              </a:graphicData>
            </a:graphic>
          </wp:inline>
        </w:drawing>
      </w:r>
    </w:p>
    <w:p w14:paraId="23B2502D" w14:textId="7B39516C" w:rsidR="00016772" w:rsidRPr="000F378E" w:rsidRDefault="00016772" w:rsidP="000F378E">
      <w:pPr>
        <w:spacing w:line="360" w:lineRule="auto"/>
        <w:jc w:val="both"/>
        <w:rPr>
          <w:rFonts w:ascii="Times New Roman" w:hAnsi="Times New Roman" w:cs="Times New Roman"/>
          <w:i/>
          <w:iCs/>
          <w:color w:val="000000" w:themeColor="text1"/>
          <w:shd w:val="clear" w:color="auto" w:fill="FFFFFF"/>
        </w:rPr>
      </w:pPr>
      <w:r w:rsidRPr="000F378E">
        <w:rPr>
          <w:rFonts w:ascii="Times New Roman" w:hAnsi="Times New Roman" w:cs="Times New Roman"/>
          <w:i/>
          <w:iCs/>
          <w:color w:val="000000" w:themeColor="text1"/>
          <w:shd w:val="clear" w:color="auto" w:fill="FFFFFF"/>
        </w:rPr>
        <w:t xml:space="preserve">Source: Doing Business, Latest available data. </w:t>
      </w:r>
    </w:p>
    <w:p w14:paraId="60F5892E" w14:textId="696A96FF" w:rsidR="00016772" w:rsidRPr="000F378E" w:rsidRDefault="00016772" w:rsidP="000F378E">
      <w:pPr>
        <w:spacing w:line="360" w:lineRule="auto"/>
        <w:jc w:val="both"/>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 xml:space="preserve">From the above table, one should understand that the greater the index, the more a manger is held responsible, the more transparent the transactions conditions, the </w:t>
      </w:r>
      <w:r w:rsidR="00CA3AFC" w:rsidRPr="000F378E">
        <w:rPr>
          <w:rFonts w:ascii="Times New Roman" w:hAnsi="Times New Roman" w:cs="Times New Roman"/>
          <w:color w:val="000000" w:themeColor="text1"/>
          <w:shd w:val="clear" w:color="auto" w:fill="FFFFFF"/>
        </w:rPr>
        <w:t>higher</w:t>
      </w:r>
      <w:r w:rsidRPr="000F378E">
        <w:rPr>
          <w:rFonts w:ascii="Times New Roman" w:hAnsi="Times New Roman" w:cs="Times New Roman"/>
          <w:color w:val="000000" w:themeColor="text1"/>
          <w:shd w:val="clear" w:color="auto" w:fill="FFFFFF"/>
        </w:rPr>
        <w:t xml:space="preserve"> the investor protection level, and the </w:t>
      </w:r>
      <w:r w:rsidR="00CA3AFC" w:rsidRPr="000F378E">
        <w:rPr>
          <w:rFonts w:ascii="Times New Roman" w:hAnsi="Times New Roman" w:cs="Times New Roman"/>
          <w:color w:val="000000" w:themeColor="text1"/>
          <w:shd w:val="clear" w:color="auto" w:fill="FFFFFF"/>
        </w:rPr>
        <w:t>easier</w:t>
      </w:r>
      <w:r w:rsidRPr="000F378E">
        <w:rPr>
          <w:rFonts w:ascii="Times New Roman" w:hAnsi="Times New Roman" w:cs="Times New Roman"/>
          <w:color w:val="000000" w:themeColor="text1"/>
          <w:shd w:val="clear" w:color="auto" w:fill="FFFFFF"/>
        </w:rPr>
        <w:t xml:space="preserve"> it is for </w:t>
      </w:r>
      <w:r w:rsidR="00CA3AFC" w:rsidRPr="000F378E">
        <w:rPr>
          <w:rFonts w:ascii="Times New Roman" w:hAnsi="Times New Roman" w:cs="Times New Roman"/>
          <w:color w:val="000000" w:themeColor="text1"/>
          <w:shd w:val="clear" w:color="auto" w:fill="FFFFFF"/>
        </w:rPr>
        <w:t xml:space="preserve">the shareholders to decide for a legal action. </w:t>
      </w:r>
    </w:p>
    <w:p w14:paraId="392F9B4A" w14:textId="60E5323E" w:rsidR="00CA3AFC" w:rsidRPr="000F378E" w:rsidRDefault="00CA3AFC" w:rsidP="000F378E">
      <w:pPr>
        <w:pStyle w:val="ListParagraph"/>
        <w:numPr>
          <w:ilvl w:val="1"/>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What should be considered if you Invest in China</w:t>
      </w:r>
    </w:p>
    <w:p w14:paraId="53C55BC6" w14:textId="00AA7721" w:rsidR="00CA3AFC" w:rsidRPr="000F378E" w:rsidRDefault="00CA3AFC" w:rsidP="000F378E">
      <w:p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Strengths</w:t>
      </w:r>
    </w:p>
    <w:p w14:paraId="26A8E8B5" w14:textId="5FDB6922"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China is the biggest internal market across the globe, with 1.44 billion potential consumers</w:t>
      </w:r>
    </w:p>
    <w:p w14:paraId="7F5D171D" w14:textId="1ACBF208"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 xml:space="preserve">The sovereign risk considered as public debt is significantly domesticated &amp; denominated in the local currency. </w:t>
      </w:r>
    </w:p>
    <w:p w14:paraId="1D10CC90" w14:textId="2C5D5C35"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The significance of the foreign currency reserves and the public debt is owned by the government and its citizens.</w:t>
      </w:r>
    </w:p>
    <w:p w14:paraId="14A73AC4" w14:textId="467B9223"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 xml:space="preserve">China’s production sector is well-developed, especially the manufacturing segment that is a heavy industry. </w:t>
      </w:r>
    </w:p>
    <w:p w14:paraId="0DA234D7" w14:textId="59A8C548"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China is strategically located making it favorable for the emerging markets.</w:t>
      </w:r>
    </w:p>
    <w:p w14:paraId="6DFBC6D8" w14:textId="32D1031B"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 xml:space="preserve">China’s economy is top in regard to the purchasing power parity (PPP), courtesy to the economy’s rapid growth. </w:t>
      </w:r>
    </w:p>
    <w:p w14:paraId="1770F9F4" w14:textId="62867D54" w:rsidR="00CA3AFC" w:rsidRPr="000F378E" w:rsidRDefault="00CA3AFC"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 xml:space="preserve">Labor costs in China are comparatively low, but the condition is changing in specific regions. </w:t>
      </w:r>
    </w:p>
    <w:p w14:paraId="5C82E352" w14:textId="57453FA0" w:rsidR="00CA3AFC" w:rsidRPr="000F378E" w:rsidRDefault="00301F0B"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New opportunities are emerging as a result of the western provinces’ development (especially the Sichuan Province)</w:t>
      </w:r>
    </w:p>
    <w:p w14:paraId="16A6BEAF" w14:textId="5FB2BC68" w:rsidR="00301F0B" w:rsidRPr="000F378E" w:rsidRDefault="00301F0B" w:rsidP="000F378E">
      <w:pPr>
        <w:pStyle w:val="ListParagraph"/>
        <w:numPr>
          <w:ilvl w:val="0"/>
          <w:numId w:val="3"/>
        </w:numPr>
        <w:spacing w:line="360" w:lineRule="auto"/>
        <w:jc w:val="both"/>
        <w:rPr>
          <w:rFonts w:ascii="Times New Roman" w:hAnsi="Times New Roman" w:cs="Times New Roman"/>
          <w:b/>
          <w:bCs/>
          <w:color w:val="000000" w:themeColor="text1"/>
        </w:rPr>
      </w:pPr>
      <w:r w:rsidRPr="000F378E">
        <w:rPr>
          <w:rFonts w:ascii="Times New Roman" w:hAnsi="Times New Roman" w:cs="Times New Roman"/>
          <w:color w:val="000000" w:themeColor="text1"/>
        </w:rPr>
        <w:t xml:space="preserve">A new export network development (A Silk Road Network). </w:t>
      </w:r>
    </w:p>
    <w:p w14:paraId="66F2C91B" w14:textId="2FD65049" w:rsidR="00301F0B" w:rsidRPr="000F378E" w:rsidRDefault="00301F0B" w:rsidP="000F378E">
      <w:p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Weaknesses</w:t>
      </w:r>
    </w:p>
    <w:p w14:paraId="4BD2BB30" w14:textId="5AC33852"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The legal environment is ever-changing</w:t>
      </w:r>
    </w:p>
    <w:p w14:paraId="0E547DBB" w14:textId="34A7AD0C"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Administrative and bureaucratic complexities</w:t>
      </w:r>
    </w:p>
    <w:p w14:paraId="1FA6856B" w14:textId="2C51FA7B"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Lack of transparency, little protection of the intellectual rights on property, and corruption</w:t>
      </w:r>
    </w:p>
    <w:p w14:paraId="60030D7C" w14:textId="25E73A8E"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lastRenderedPageBreak/>
        <w:t>Ageing population.</w:t>
      </w:r>
    </w:p>
    <w:p w14:paraId="32BE1288" w14:textId="3E98FEB6"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Corporate indebtedness high levels</w:t>
      </w:r>
    </w:p>
    <w:p w14:paraId="0E7066C9" w14:textId="66B8A095"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Overcapacity production in various sectors.</w:t>
      </w:r>
    </w:p>
    <w:p w14:paraId="436567F0" w14:textId="008C78D8"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 A solid degraded environmental condition in various large cities</w:t>
      </w:r>
    </w:p>
    <w:p w14:paraId="28049557" w14:textId="2D3035D9"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Cultural diversity in business operations making it challenging for foreign investors to learn and use in new business conditions</w:t>
      </w:r>
    </w:p>
    <w:p w14:paraId="2D8EA3F2" w14:textId="2D1CA72C" w:rsidR="00301F0B" w:rsidRPr="000F378E" w:rsidRDefault="00301F0B" w:rsidP="000F378E">
      <w:pPr>
        <w:pStyle w:val="ListParagraph"/>
        <w:numPr>
          <w:ilvl w:val="0"/>
          <w:numId w:val="4"/>
        </w:num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Low level qualified employees with underdeveloped middle management. </w:t>
      </w:r>
    </w:p>
    <w:p w14:paraId="3F461661" w14:textId="0A774E57" w:rsidR="00301F0B" w:rsidRPr="000F378E" w:rsidRDefault="00301F0B" w:rsidP="000F378E">
      <w:pPr>
        <w:pStyle w:val="ListParagraph"/>
        <w:numPr>
          <w:ilvl w:val="1"/>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Government Measures Motivating or Restricting FDI</w:t>
      </w:r>
    </w:p>
    <w:p w14:paraId="1E05152E" w14:textId="0678DF9E" w:rsidR="00301F0B" w:rsidRPr="000F378E" w:rsidRDefault="00171B3F"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In general, the government of China is much restrictive relative to the other large economies in relation to foreign investment, whereby many sections are closed to FDI</w:t>
      </w:r>
      <w:r w:rsidR="00A421D4" w:rsidRPr="000F378E">
        <w:rPr>
          <w:rFonts w:ascii="Times New Roman" w:hAnsi="Times New Roman" w:cs="Times New Roman"/>
          <w:color w:val="000000" w:themeColor="text1"/>
        </w:rPr>
        <w:t xml:space="preserve"> (</w:t>
      </w:r>
      <w:r w:rsidR="00A421D4" w:rsidRPr="000F378E">
        <w:rPr>
          <w:rFonts w:ascii="Times New Roman" w:hAnsi="Times New Roman" w:cs="Times New Roman"/>
        </w:rPr>
        <w:t>Ali</w:t>
      </w:r>
      <w:r w:rsidR="00A421D4" w:rsidRPr="000F378E">
        <w:rPr>
          <w:rFonts w:ascii="Times New Roman" w:hAnsi="Times New Roman" w:cs="Times New Roman"/>
        </w:rPr>
        <w:t xml:space="preserve"> </w:t>
      </w:r>
      <w:r w:rsidR="00A421D4" w:rsidRPr="000F378E">
        <w:rPr>
          <w:rFonts w:ascii="Times New Roman" w:hAnsi="Times New Roman" w:cs="Times New Roman"/>
        </w:rPr>
        <w:t>and</w:t>
      </w:r>
      <w:r w:rsidR="00A421D4" w:rsidRPr="000F378E">
        <w:rPr>
          <w:rFonts w:ascii="Times New Roman" w:hAnsi="Times New Roman" w:cs="Times New Roman"/>
        </w:rPr>
        <w:t xml:space="preserve"> </w:t>
      </w:r>
      <w:r w:rsidR="00A421D4" w:rsidRPr="000F378E">
        <w:rPr>
          <w:rFonts w:ascii="Times New Roman" w:hAnsi="Times New Roman" w:cs="Times New Roman"/>
        </w:rPr>
        <w:t>Guo</w:t>
      </w:r>
      <w:r w:rsidR="00A421D4" w:rsidRPr="000F378E">
        <w:rPr>
          <w:rFonts w:ascii="Times New Roman" w:hAnsi="Times New Roman" w:cs="Times New Roman"/>
        </w:rPr>
        <w:t xml:space="preserve">, </w:t>
      </w:r>
      <w:r w:rsidR="00A421D4" w:rsidRPr="000F378E">
        <w:rPr>
          <w:rFonts w:ascii="Times New Roman" w:hAnsi="Times New Roman" w:cs="Times New Roman"/>
        </w:rPr>
        <w:t>2016).</w:t>
      </w:r>
      <w:r w:rsidR="00A421D4" w:rsidRPr="000F378E">
        <w:rPr>
          <w:rFonts w:ascii="Times New Roman" w:hAnsi="Times New Roman" w:cs="Times New Roman"/>
        </w:rPr>
        <w:t xml:space="preserve"> </w:t>
      </w:r>
      <w:r w:rsidRPr="000F378E">
        <w:rPr>
          <w:rFonts w:ascii="Times New Roman" w:hAnsi="Times New Roman" w:cs="Times New Roman"/>
          <w:color w:val="000000" w:themeColor="text1"/>
        </w:rPr>
        <w:t xml:space="preserve">First, state firms &amp; national flagships remain protected- selective regulations’ applications, non-independent judicial power, and discriminatory practices). Until some past few months, the Chinese state needed forced transfer of technology and its intellectual property protection system was among the weakest across the most industrialized nations. </w:t>
      </w:r>
      <w:r w:rsidR="000B64A8" w:rsidRPr="000F378E">
        <w:rPr>
          <w:rFonts w:ascii="Times New Roman" w:hAnsi="Times New Roman" w:cs="Times New Roman"/>
          <w:color w:val="000000" w:themeColor="text1"/>
        </w:rPr>
        <w:t xml:space="preserve">The Government of China supports investment across specific sectors or industries including, the high technology, new materials or equipment production, recycling, service sectors, renewable energies, and environmental protection. Additionally, China is known to discouraging foreign investment across key industries, whereby the country seeks transforming domestic companies into the worldwide competitive multinational companies and industries that had historically benefited from the state monopolies. Also, the Chinese government discourages investments related to profit from speculation like assets, real estate, or money. Additionally, the Chinese government had been planning limiting the foreign investment in highly-polluting and resource-intensive industries. </w:t>
      </w:r>
    </w:p>
    <w:p w14:paraId="5EB83798" w14:textId="3030A429" w:rsidR="000B64A8" w:rsidRPr="000F378E" w:rsidRDefault="00767C8A"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The Law on Foreign Investments of the People’s Republic of China was adopted on March, 15</w:t>
      </w:r>
      <w:r w:rsidRPr="000F378E">
        <w:rPr>
          <w:rFonts w:ascii="Times New Roman" w:hAnsi="Times New Roman" w:cs="Times New Roman"/>
          <w:color w:val="000000" w:themeColor="text1"/>
          <w:vertAlign w:val="superscript"/>
        </w:rPr>
        <w:t>th</w:t>
      </w:r>
      <w:r w:rsidRPr="000F378E">
        <w:rPr>
          <w:rFonts w:ascii="Times New Roman" w:hAnsi="Times New Roman" w:cs="Times New Roman"/>
          <w:color w:val="000000" w:themeColor="text1"/>
        </w:rPr>
        <w:t>, 2019 during the 13</w:t>
      </w:r>
      <w:r w:rsidRPr="000F378E">
        <w:rPr>
          <w:rFonts w:ascii="Times New Roman" w:hAnsi="Times New Roman" w:cs="Times New Roman"/>
          <w:color w:val="000000" w:themeColor="text1"/>
          <w:vertAlign w:val="superscript"/>
        </w:rPr>
        <w:t>th</w:t>
      </w:r>
      <w:r w:rsidRPr="000F378E">
        <w:rPr>
          <w:rFonts w:ascii="Times New Roman" w:hAnsi="Times New Roman" w:cs="Times New Roman"/>
          <w:color w:val="000000" w:themeColor="text1"/>
        </w:rPr>
        <w:t xml:space="preserve"> National Congress’s second session. As a result, this law had been in execution since January, 1</w:t>
      </w:r>
      <w:r w:rsidRPr="000F378E">
        <w:rPr>
          <w:rFonts w:ascii="Times New Roman" w:hAnsi="Times New Roman" w:cs="Times New Roman"/>
          <w:color w:val="000000" w:themeColor="text1"/>
          <w:vertAlign w:val="superscript"/>
        </w:rPr>
        <w:t>st</w:t>
      </w:r>
      <w:r w:rsidRPr="000F378E">
        <w:rPr>
          <w:rFonts w:ascii="Times New Roman" w:hAnsi="Times New Roman" w:cs="Times New Roman"/>
          <w:color w:val="000000" w:themeColor="text1"/>
        </w:rPr>
        <w:t xml:space="preserve">, 2020 whereby </w:t>
      </w:r>
      <w:r w:rsidR="009D0CEA" w:rsidRPr="000F378E">
        <w:rPr>
          <w:rFonts w:ascii="Times New Roman" w:hAnsi="Times New Roman" w:cs="Times New Roman"/>
          <w:color w:val="000000" w:themeColor="text1"/>
        </w:rPr>
        <w:t>its</w:t>
      </w:r>
      <w:r w:rsidRPr="000F378E">
        <w:rPr>
          <w:rFonts w:ascii="Times New Roman" w:hAnsi="Times New Roman" w:cs="Times New Roman"/>
          <w:color w:val="000000" w:themeColor="text1"/>
        </w:rPr>
        <w:t xml:space="preserve"> new Foreign Investment Law had been seeking to addressing the common complaints from both foreign businesses and their governments. Basically, the law is specifically prohibitive to governments and their officials from forcing technology transfer given that technology cooperation based on the free will as well as the business regulations are state-encouraged. In fact, article 22 suggests that the State shall provide protection to the rights of intellectual properties of foreign investors as well as the foreign-funded businesses. Besides, the law offers foreign investors a possibility to receiving similar treatment </w:t>
      </w:r>
      <w:r w:rsidR="00E11DDE" w:rsidRPr="000F378E">
        <w:rPr>
          <w:rFonts w:ascii="Times New Roman" w:hAnsi="Times New Roman" w:cs="Times New Roman"/>
          <w:color w:val="000000" w:themeColor="text1"/>
        </w:rPr>
        <w:t xml:space="preserve">when applying for licenses as stated in article 30, and when participating in the public procurement as stated in article 16. </w:t>
      </w:r>
    </w:p>
    <w:p w14:paraId="33B30CAD" w14:textId="3A2AC0D6" w:rsidR="00E11DDE" w:rsidRPr="000F378E" w:rsidRDefault="00E11DDE"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lastRenderedPageBreak/>
        <w:t>It was on 23</w:t>
      </w:r>
      <w:r w:rsidRPr="000F378E">
        <w:rPr>
          <w:rFonts w:ascii="Times New Roman" w:hAnsi="Times New Roman" w:cs="Times New Roman"/>
          <w:color w:val="000000" w:themeColor="text1"/>
          <w:vertAlign w:val="superscript"/>
        </w:rPr>
        <w:t>rd</w:t>
      </w:r>
      <w:r w:rsidRPr="000F378E">
        <w:rPr>
          <w:rFonts w:ascii="Times New Roman" w:hAnsi="Times New Roman" w:cs="Times New Roman"/>
          <w:color w:val="000000" w:themeColor="text1"/>
        </w:rPr>
        <w:t xml:space="preserve"> June, 2020 when the National Development &amp; Reform Commission (NDCR), together with the Ministry of Commerce (MOF), collaboratively provided two negative lists related to Free Trade Zones and Foreign Investment Special Administrative Measures and an edited draft for the Catalogue of Encouraged Industries for Foreign Investment. In contrast to the 2019 edition, the 2020 Foreign Investment encouraging proposal is lengthened, with an addition of 125 new industries and an amendment of 76 listed industry in the past</w:t>
      </w:r>
      <w:r w:rsidR="00A421D4" w:rsidRPr="000F378E">
        <w:rPr>
          <w:rFonts w:ascii="Times New Roman" w:hAnsi="Times New Roman" w:cs="Times New Roman"/>
          <w:color w:val="000000" w:themeColor="text1"/>
        </w:rPr>
        <w:t xml:space="preserve"> </w:t>
      </w:r>
      <w:r w:rsidR="00A421D4" w:rsidRPr="000F378E">
        <w:rPr>
          <w:rFonts w:ascii="Times New Roman" w:hAnsi="Times New Roman" w:cs="Times New Roman"/>
          <w:color w:val="000000" w:themeColor="text1"/>
        </w:rPr>
        <w:t>(</w:t>
      </w:r>
      <w:r w:rsidR="00A421D4" w:rsidRPr="000F378E">
        <w:rPr>
          <w:rFonts w:ascii="Times New Roman" w:hAnsi="Times New Roman" w:cs="Times New Roman"/>
        </w:rPr>
        <w:t>Ali and Guo, 2016).</w:t>
      </w:r>
      <w:r w:rsidR="00A421D4" w:rsidRPr="000F378E">
        <w:rPr>
          <w:rFonts w:ascii="Times New Roman" w:hAnsi="Times New Roman" w:cs="Times New Roman"/>
        </w:rPr>
        <w:t xml:space="preserve"> </w:t>
      </w:r>
      <w:r w:rsidRPr="000F378E">
        <w:rPr>
          <w:rFonts w:ascii="Times New Roman" w:hAnsi="Times New Roman" w:cs="Times New Roman"/>
          <w:color w:val="000000" w:themeColor="text1"/>
        </w:rPr>
        <w:t xml:space="preserve">In comparison to the 2019 catalogue, however, </w:t>
      </w:r>
      <w:r w:rsidR="006B4231" w:rsidRPr="000F378E">
        <w:rPr>
          <w:rFonts w:ascii="Times New Roman" w:hAnsi="Times New Roman" w:cs="Times New Roman"/>
          <w:color w:val="000000" w:themeColor="text1"/>
        </w:rPr>
        <w:t xml:space="preserve">no major changes are recognized since it welcomes increased FDI across three significant sectors in China: production-oriented; high-end production service industries in Central, Northeaster, and Western provinces in China. </w:t>
      </w:r>
    </w:p>
    <w:p w14:paraId="176B7792" w14:textId="4B9207FF" w:rsidR="00F82A61" w:rsidRPr="000F378E" w:rsidRDefault="00F82A61" w:rsidP="000F378E">
      <w:pPr>
        <w:pStyle w:val="ListParagraph"/>
        <w:numPr>
          <w:ilvl w:val="1"/>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Related Procedures to Foreign Investment in China</w:t>
      </w:r>
    </w:p>
    <w:p w14:paraId="57EEE327" w14:textId="40F59DAE" w:rsidR="00F82A61" w:rsidRPr="000F378E" w:rsidRDefault="00F82A61" w:rsidP="000F378E">
      <w:pPr>
        <w:pStyle w:val="ListParagraph"/>
        <w:numPr>
          <w:ilvl w:val="2"/>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Freedom of Establishment</w:t>
      </w:r>
    </w:p>
    <w:p w14:paraId="29AEF4C7" w14:textId="7EB7D5C8" w:rsidR="00F82A61" w:rsidRPr="000F378E" w:rsidRDefault="00F82A61"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The Foreign Investment Law of the People’s Republic implemented a negative list management and pre-established national treatment foreign investment system. The former is related to the special administrative actions for accessing foreign investments in significant sections, which are approved or issued by the State Council. The latter, however, </w:t>
      </w:r>
      <w:r w:rsidR="00C20CD8" w:rsidRPr="000F378E">
        <w:rPr>
          <w:rFonts w:ascii="Times New Roman" w:hAnsi="Times New Roman" w:cs="Times New Roman"/>
          <w:color w:val="000000" w:themeColor="text1"/>
        </w:rPr>
        <w:t>implies to the given treatment to foreign investors based on market access, that could not be less-favorable relative to the one granted to the domestic investors</w:t>
      </w:r>
      <w:r w:rsidR="00A421D4" w:rsidRPr="000F378E">
        <w:rPr>
          <w:rFonts w:ascii="Times New Roman" w:hAnsi="Times New Roman" w:cs="Times New Roman"/>
          <w:color w:val="000000" w:themeColor="text1"/>
        </w:rPr>
        <w:t xml:space="preserve"> (</w:t>
      </w:r>
      <w:r w:rsidR="00A421D4" w:rsidRPr="000F378E">
        <w:rPr>
          <w:rFonts w:ascii="Times New Roman" w:hAnsi="Times New Roman" w:cs="Times New Roman"/>
        </w:rPr>
        <w:t>Bo,</w:t>
      </w:r>
      <w:r w:rsidR="00A421D4" w:rsidRPr="000F378E">
        <w:rPr>
          <w:rFonts w:ascii="Times New Roman" w:hAnsi="Times New Roman" w:cs="Times New Roman"/>
        </w:rPr>
        <w:t xml:space="preserve"> </w:t>
      </w:r>
      <w:r w:rsidR="00A421D4" w:rsidRPr="000F378E">
        <w:rPr>
          <w:rFonts w:ascii="Times New Roman" w:hAnsi="Times New Roman" w:cs="Times New Roman"/>
        </w:rPr>
        <w:t xml:space="preserve">2016). </w:t>
      </w:r>
      <w:r w:rsidR="00C20CD8" w:rsidRPr="000F378E">
        <w:rPr>
          <w:rFonts w:ascii="Times New Roman" w:hAnsi="Times New Roman" w:cs="Times New Roman"/>
          <w:color w:val="000000" w:themeColor="text1"/>
        </w:rPr>
        <w:t xml:space="preserve"> Notably, this Law suggests that the state is the only authorized body to granting the national treatment to the foreign investors not featured in the negative management list. </w:t>
      </w:r>
    </w:p>
    <w:p w14:paraId="322972F5" w14:textId="15978881" w:rsidR="00C20CD8" w:rsidRPr="000F378E" w:rsidRDefault="00C20CD8" w:rsidP="000F378E">
      <w:pPr>
        <w:pStyle w:val="ListParagraph"/>
        <w:numPr>
          <w:ilvl w:val="2"/>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Holdings’ Acquisition</w:t>
      </w:r>
    </w:p>
    <w:p w14:paraId="715C7C1A" w14:textId="623E48EB" w:rsidR="00C20CD8" w:rsidRPr="000F378E" w:rsidRDefault="00C20CD8"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China authorizes the majority interest’s acquisition in a local firm. Therefore, M&amp;A processes remain subjected to different governing based on if the firm is a listed or non-listed foreign or local public organization. </w:t>
      </w:r>
    </w:p>
    <w:p w14:paraId="0A804115" w14:textId="11F91448" w:rsidR="00C20CD8" w:rsidRPr="000F378E" w:rsidRDefault="00C20CD8" w:rsidP="000F378E">
      <w:pPr>
        <w:pStyle w:val="ListParagraph"/>
        <w:numPr>
          <w:ilvl w:val="2"/>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Obligation to Declare</w:t>
      </w:r>
    </w:p>
    <w:p w14:paraId="1B8BD2B8" w14:textId="229087FB" w:rsidR="00C20CD8" w:rsidRPr="000F378E" w:rsidRDefault="00C20CD8"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All the information distribution on significant authorizations for business establishment in China is facilitated by the Chinese International Investment Promotion Agency. Therefore, all the foreign investments’ proposed projects in China should be submitted so as to be verified and approved by the National Development &amp; Reform Commission (NDRC) or by the local or provincial Development &amp; Reform Commissions, based on the </w:t>
      </w:r>
      <w:r w:rsidR="00F35A7C" w:rsidRPr="000F378E">
        <w:rPr>
          <w:rFonts w:ascii="Times New Roman" w:hAnsi="Times New Roman" w:cs="Times New Roman"/>
          <w:color w:val="000000" w:themeColor="text1"/>
        </w:rPr>
        <w:t>investment</w:t>
      </w:r>
      <w:r w:rsidRPr="000F378E">
        <w:rPr>
          <w:rFonts w:ascii="Times New Roman" w:hAnsi="Times New Roman" w:cs="Times New Roman"/>
          <w:color w:val="000000" w:themeColor="text1"/>
        </w:rPr>
        <w:t xml:space="preserve"> value and the sector. </w:t>
      </w:r>
    </w:p>
    <w:p w14:paraId="1DBD7BBB" w14:textId="602AEA2A" w:rsidR="00F35A7C" w:rsidRPr="000F378E" w:rsidRDefault="00F35A7C" w:rsidP="000F378E">
      <w:pPr>
        <w:pStyle w:val="ListParagraph"/>
        <w:numPr>
          <w:ilvl w:val="2"/>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Specific Authorizations’ Requests</w:t>
      </w:r>
    </w:p>
    <w:p w14:paraId="6966454A" w14:textId="34CACA75" w:rsidR="00F35A7C" w:rsidRPr="000F378E" w:rsidRDefault="00F35A7C"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Before beginning any business activity in China, the business plans must be submitted to be approved by the competent authorities. Given that an investor wants to start a foreign-sponsored firm by merging with a domestic company according to these provisions, then the investor is subjected to the related approval to </w:t>
      </w:r>
      <w:r w:rsidRPr="000F378E">
        <w:rPr>
          <w:rFonts w:ascii="Times New Roman" w:hAnsi="Times New Roman" w:cs="Times New Roman"/>
          <w:color w:val="000000" w:themeColor="text1"/>
        </w:rPr>
        <w:lastRenderedPageBreak/>
        <w:t>the examination &amp; approval organ and registration modification or undergo the registration establishment process in the registration administrative organ. However, the examination &amp; approval organ are related to the Ministry of Commerce while registration administrative is related to the State Administrator for Industry &amp; Commerce (SAIC). Notably, the China’s State-Owned Enterprises are always targeted by the foreign investors but investors need to understand that more rules are applicable to the State-Owned Enterprises’ purchase by the foreign investors. Also, greenfield investments must</w:t>
      </w:r>
      <w:r w:rsidR="00C510BA" w:rsidRPr="000F378E">
        <w:rPr>
          <w:rFonts w:ascii="Times New Roman" w:hAnsi="Times New Roman" w:cs="Times New Roman"/>
          <w:color w:val="000000" w:themeColor="text1"/>
        </w:rPr>
        <w:t xml:space="preserve"> be approved by the Chinese Environmental Protection Ministry. </w:t>
      </w:r>
    </w:p>
    <w:p w14:paraId="62C5BBCD" w14:textId="571976CA" w:rsidR="00D87D61" w:rsidRPr="000F378E" w:rsidRDefault="00FA5928" w:rsidP="000F378E">
      <w:pPr>
        <w:pStyle w:val="ListParagraph"/>
        <w:numPr>
          <w:ilvl w:val="0"/>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Pricing &amp; Financial Forecast</w:t>
      </w:r>
    </w:p>
    <w:p w14:paraId="06EEF8E1" w14:textId="76B7093A" w:rsidR="00FA5928" w:rsidRPr="000F378E" w:rsidRDefault="00FA5928" w:rsidP="000F378E">
      <w:pPr>
        <w:spacing w:line="360" w:lineRule="auto"/>
        <w:jc w:val="both"/>
        <w:rPr>
          <w:rFonts w:ascii="Times New Roman" w:hAnsi="Times New Roman" w:cs="Times New Roman"/>
          <w:color w:val="000000" w:themeColor="text1"/>
        </w:rPr>
      </w:pPr>
      <w:r w:rsidRPr="000F378E">
        <w:rPr>
          <w:rFonts w:ascii="Times New Roman" w:hAnsi="Times New Roman" w:cs="Times New Roman"/>
          <w:color w:val="000000" w:themeColor="text1"/>
        </w:rPr>
        <w:t xml:space="preserve">We expect Environmental-Friendly Motors to experience a sales growth at a rate of 20% in every month, beginning from the conservative of estimate of 1000 electric cars sold in both China and US markets. The financially will be initially sponsored by the executive board to allow sufficient credit opportunity to cover the unforeseen costs, if needed. There will be a rapid growth, with profits being produced almost immediately. Revenues will be repaid initially to the business to financing any overhead expenses in relation to inventory purchasing and paying </w:t>
      </w:r>
      <w:r w:rsidR="009D0CEA" w:rsidRPr="000F378E">
        <w:rPr>
          <w:rFonts w:ascii="Times New Roman" w:hAnsi="Times New Roman" w:cs="Times New Roman"/>
          <w:color w:val="000000" w:themeColor="text1"/>
        </w:rPr>
        <w:t xml:space="preserve">the outstanding debt’s principle. Inventory will be bought in advance to stock our showroom’s floor and outfitting each executive, sales person, and the mechanic with the zero emissions motor to driving around the country at their own expenses. The earned savings from investing in electrical vehicles will be spread using the word-of-mouth with an aim of attracting more consumers and bolstering the future growth at a similar rate of 20%. </w:t>
      </w:r>
    </w:p>
    <w:p w14:paraId="66E9E82F" w14:textId="6B06FE71" w:rsidR="009D0CEA" w:rsidRPr="000F378E" w:rsidRDefault="009D0CEA" w:rsidP="000F378E">
      <w:pPr>
        <w:pStyle w:val="ListParagraph"/>
        <w:numPr>
          <w:ilvl w:val="1"/>
          <w:numId w:val="2"/>
        </w:numPr>
        <w:spacing w:line="360" w:lineRule="auto"/>
        <w:jc w:val="both"/>
        <w:rPr>
          <w:rFonts w:ascii="Times New Roman" w:hAnsi="Times New Roman" w:cs="Times New Roman"/>
          <w:b/>
          <w:bCs/>
          <w:color w:val="000000" w:themeColor="text1"/>
        </w:rPr>
      </w:pPr>
      <w:r w:rsidRPr="000F378E">
        <w:rPr>
          <w:rFonts w:ascii="Times New Roman" w:hAnsi="Times New Roman" w:cs="Times New Roman"/>
          <w:b/>
          <w:bCs/>
          <w:color w:val="000000" w:themeColor="text1"/>
        </w:rPr>
        <w:t>Significant Assumptions</w:t>
      </w:r>
    </w:p>
    <w:p w14:paraId="2E40360C" w14:textId="669BDB3B" w:rsidR="009D0CEA" w:rsidRPr="000F378E" w:rsidRDefault="009D0CEA" w:rsidP="000F378E">
      <w:pPr>
        <w:spacing w:line="360" w:lineRule="auto"/>
        <w:jc w:val="both"/>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rPr>
        <w:t xml:space="preserve">The firm will be dealing with the manufacture of electrical motors and we aim to have an annual production of 10,000 vehicles, with 50% being sold in China and the other 50% to be exported to the US market and sold to both Tesla and General Motors companies. We will initially develop a Wholly owned Foreign Enterprise (WOFE) in China in a 3-month period to be secure. After proving ourselves, we will be a fully China Domestic Company. As earlier stated, our operation will involve producing electrical motors for the expanding automotive section, with 50% of our production aimed at the Chinese domestic market, while the other will be aimed at the US market. Our unit selling price will be $200 USD, </w:t>
      </w:r>
      <w:r w:rsidRPr="000F378E">
        <w:rPr>
          <w:rFonts w:ascii="Times New Roman" w:hAnsi="Times New Roman" w:cs="Times New Roman"/>
          <w:color w:val="000000" w:themeColor="text1"/>
          <w:shd w:val="clear" w:color="auto" w:fill="FFFFFF"/>
        </w:rPr>
        <w:t xml:space="preserve">Unit cost is $100 Ex-works China Container is 20', with cost of $4200 paid to Freight Broker assuming 1,000 units / container. Since the firm is prepared for its manufacturers to provide new electric vehicles in the coming 12 </w:t>
      </w:r>
      <w:r w:rsidR="00F26CF6" w:rsidRPr="000F378E">
        <w:rPr>
          <w:rFonts w:ascii="Times New Roman" w:hAnsi="Times New Roman" w:cs="Times New Roman"/>
          <w:color w:val="000000" w:themeColor="text1"/>
          <w:shd w:val="clear" w:color="auto" w:fill="FFFFFF"/>
        </w:rPr>
        <w:t>one-year</w:t>
      </w:r>
      <w:r w:rsidRPr="000F378E">
        <w:rPr>
          <w:rFonts w:ascii="Times New Roman" w:hAnsi="Times New Roman" w:cs="Times New Roman"/>
          <w:color w:val="000000" w:themeColor="text1"/>
          <w:shd w:val="clear" w:color="auto" w:fill="FFFFFF"/>
        </w:rPr>
        <w:t xml:space="preserve">, drastic price increases in inventory may be a threat to our business stability. These fluctuations could only be a threat if they could be industry-wide. However, success will be just around the corner </w:t>
      </w:r>
      <w:r w:rsidR="00F26CF6" w:rsidRPr="000F378E">
        <w:rPr>
          <w:rFonts w:ascii="Times New Roman" w:hAnsi="Times New Roman" w:cs="Times New Roman"/>
          <w:color w:val="000000" w:themeColor="text1"/>
          <w:shd w:val="clear" w:color="auto" w:fill="FFFFFF"/>
        </w:rPr>
        <w:t>given both China and US’s barring of the monopolistic manipulations regarding the inventory supply. Therefore, the following table shows the financial forecast based on our assumptions:</w:t>
      </w:r>
    </w:p>
    <w:p w14:paraId="04365315" w14:textId="6D30CC34" w:rsidR="00F26CF6" w:rsidRPr="000F378E" w:rsidRDefault="00F26CF6" w:rsidP="000F378E">
      <w:pPr>
        <w:spacing w:line="360" w:lineRule="auto"/>
        <w:jc w:val="both"/>
        <w:rPr>
          <w:rFonts w:ascii="Times New Roman" w:hAnsi="Times New Roman" w:cs="Times New Roman"/>
          <w:i/>
          <w:iCs/>
          <w:color w:val="000000" w:themeColor="text1"/>
          <w:u w:val="single"/>
          <w:shd w:val="clear" w:color="auto" w:fill="FFFFFF"/>
        </w:rPr>
      </w:pPr>
      <w:r w:rsidRPr="000F378E">
        <w:rPr>
          <w:rFonts w:ascii="Times New Roman" w:hAnsi="Times New Roman" w:cs="Times New Roman"/>
          <w:i/>
          <w:iCs/>
          <w:color w:val="000000" w:themeColor="text1"/>
          <w:u w:val="single"/>
          <w:shd w:val="clear" w:color="auto" w:fill="FFFFFF"/>
        </w:rPr>
        <w:lastRenderedPageBreak/>
        <w:t>Table 1: Financial Forecast</w:t>
      </w:r>
    </w:p>
    <w:tbl>
      <w:tblPr>
        <w:tblW w:w="7200" w:type="dxa"/>
        <w:shd w:val="clear" w:color="auto" w:fill="FFFFFF"/>
        <w:tblCellMar>
          <w:top w:w="15" w:type="dxa"/>
          <w:left w:w="15" w:type="dxa"/>
          <w:bottom w:w="15" w:type="dxa"/>
          <w:right w:w="15" w:type="dxa"/>
        </w:tblCellMar>
        <w:tblLook w:val="04A0" w:firstRow="1" w:lastRow="0" w:firstColumn="1" w:lastColumn="0" w:noHBand="0" w:noVBand="1"/>
      </w:tblPr>
      <w:tblGrid>
        <w:gridCol w:w="3474"/>
        <w:gridCol w:w="1242"/>
        <w:gridCol w:w="1242"/>
        <w:gridCol w:w="1242"/>
      </w:tblGrid>
      <w:tr w:rsidR="00F26CF6" w:rsidRPr="000F378E" w14:paraId="11C4D2DB"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13369B8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Plan Month</w:t>
            </w:r>
          </w:p>
        </w:tc>
        <w:tc>
          <w:tcPr>
            <w:tcW w:w="0" w:type="auto"/>
            <w:tcBorders>
              <w:top w:val="single" w:sz="6" w:space="0" w:color="DEE2E6"/>
            </w:tcBorders>
            <w:shd w:val="clear" w:color="auto" w:fill="FFFFFF"/>
            <w:tcMar>
              <w:top w:w="60" w:type="dxa"/>
              <w:left w:w="60" w:type="dxa"/>
              <w:bottom w:w="60" w:type="dxa"/>
              <w:right w:w="60" w:type="dxa"/>
            </w:tcMar>
            <w:hideMark/>
          </w:tcPr>
          <w:p w14:paraId="30F9C9C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w:t>
            </w:r>
          </w:p>
        </w:tc>
        <w:tc>
          <w:tcPr>
            <w:tcW w:w="0" w:type="auto"/>
            <w:tcBorders>
              <w:top w:val="single" w:sz="6" w:space="0" w:color="DEE2E6"/>
            </w:tcBorders>
            <w:shd w:val="clear" w:color="auto" w:fill="FFFFFF"/>
            <w:tcMar>
              <w:top w:w="60" w:type="dxa"/>
              <w:left w:w="60" w:type="dxa"/>
              <w:bottom w:w="60" w:type="dxa"/>
              <w:right w:w="60" w:type="dxa"/>
            </w:tcMar>
            <w:hideMark/>
          </w:tcPr>
          <w:p w14:paraId="79BEF6E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w:t>
            </w:r>
          </w:p>
        </w:tc>
        <w:tc>
          <w:tcPr>
            <w:tcW w:w="0" w:type="auto"/>
            <w:tcBorders>
              <w:top w:val="single" w:sz="6" w:space="0" w:color="DEE2E6"/>
            </w:tcBorders>
            <w:shd w:val="clear" w:color="auto" w:fill="FFFFFF"/>
            <w:tcMar>
              <w:top w:w="60" w:type="dxa"/>
              <w:left w:w="60" w:type="dxa"/>
              <w:bottom w:w="60" w:type="dxa"/>
              <w:right w:w="60" w:type="dxa"/>
            </w:tcMar>
            <w:hideMark/>
          </w:tcPr>
          <w:p w14:paraId="2E125E9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w:t>
            </w:r>
          </w:p>
        </w:tc>
      </w:tr>
      <w:tr w:rsidR="00F26CF6" w:rsidRPr="000F378E" w14:paraId="74A65595"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6D9CDE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Current Interest Rate</w:t>
            </w:r>
          </w:p>
        </w:tc>
        <w:tc>
          <w:tcPr>
            <w:tcW w:w="0" w:type="auto"/>
            <w:tcBorders>
              <w:top w:val="single" w:sz="6" w:space="0" w:color="DEE2E6"/>
            </w:tcBorders>
            <w:shd w:val="clear" w:color="auto" w:fill="FFFFFF"/>
            <w:tcMar>
              <w:top w:w="60" w:type="dxa"/>
              <w:left w:w="60" w:type="dxa"/>
              <w:bottom w:w="60" w:type="dxa"/>
              <w:right w:w="60" w:type="dxa"/>
            </w:tcMar>
            <w:hideMark/>
          </w:tcPr>
          <w:p w14:paraId="2CBD3FE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10.00%</w:t>
            </w:r>
          </w:p>
        </w:tc>
        <w:tc>
          <w:tcPr>
            <w:tcW w:w="0" w:type="auto"/>
            <w:tcBorders>
              <w:top w:val="single" w:sz="6" w:space="0" w:color="DEE2E6"/>
            </w:tcBorders>
            <w:shd w:val="clear" w:color="auto" w:fill="FFFFFF"/>
            <w:tcMar>
              <w:top w:w="60" w:type="dxa"/>
              <w:left w:w="60" w:type="dxa"/>
              <w:bottom w:w="60" w:type="dxa"/>
              <w:right w:w="60" w:type="dxa"/>
            </w:tcMar>
            <w:hideMark/>
          </w:tcPr>
          <w:p w14:paraId="73488B94"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10.00%</w:t>
            </w:r>
          </w:p>
        </w:tc>
        <w:tc>
          <w:tcPr>
            <w:tcW w:w="0" w:type="auto"/>
            <w:tcBorders>
              <w:top w:val="single" w:sz="6" w:space="0" w:color="DEE2E6"/>
            </w:tcBorders>
            <w:shd w:val="clear" w:color="auto" w:fill="FFFFFF"/>
            <w:tcMar>
              <w:top w:w="60" w:type="dxa"/>
              <w:left w:w="60" w:type="dxa"/>
              <w:bottom w:w="60" w:type="dxa"/>
              <w:right w:w="60" w:type="dxa"/>
            </w:tcMar>
            <w:hideMark/>
          </w:tcPr>
          <w:p w14:paraId="411F9BB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10.00%</w:t>
            </w:r>
          </w:p>
        </w:tc>
      </w:tr>
      <w:tr w:rsidR="00F26CF6" w:rsidRPr="000F378E" w14:paraId="750E22D8"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2C2E309D"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Long-term Interest Rate</w:t>
            </w:r>
          </w:p>
        </w:tc>
        <w:tc>
          <w:tcPr>
            <w:tcW w:w="0" w:type="auto"/>
            <w:tcBorders>
              <w:top w:val="single" w:sz="6" w:space="0" w:color="DEE2E6"/>
            </w:tcBorders>
            <w:shd w:val="clear" w:color="auto" w:fill="FFFFFF"/>
            <w:tcMar>
              <w:top w:w="60" w:type="dxa"/>
              <w:left w:w="60" w:type="dxa"/>
              <w:bottom w:w="60" w:type="dxa"/>
              <w:right w:w="60" w:type="dxa"/>
            </w:tcMar>
            <w:hideMark/>
          </w:tcPr>
          <w:p w14:paraId="030BB7B4"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10.00%</w:t>
            </w:r>
          </w:p>
        </w:tc>
        <w:tc>
          <w:tcPr>
            <w:tcW w:w="0" w:type="auto"/>
            <w:tcBorders>
              <w:top w:val="single" w:sz="6" w:space="0" w:color="DEE2E6"/>
            </w:tcBorders>
            <w:shd w:val="clear" w:color="auto" w:fill="FFFFFF"/>
            <w:tcMar>
              <w:top w:w="60" w:type="dxa"/>
              <w:left w:w="60" w:type="dxa"/>
              <w:bottom w:w="60" w:type="dxa"/>
              <w:right w:w="60" w:type="dxa"/>
            </w:tcMar>
            <w:hideMark/>
          </w:tcPr>
          <w:p w14:paraId="73931E7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10.00%</w:t>
            </w:r>
          </w:p>
        </w:tc>
        <w:tc>
          <w:tcPr>
            <w:tcW w:w="0" w:type="auto"/>
            <w:tcBorders>
              <w:top w:val="single" w:sz="6" w:space="0" w:color="DEE2E6"/>
            </w:tcBorders>
            <w:shd w:val="clear" w:color="auto" w:fill="FFFFFF"/>
            <w:tcMar>
              <w:top w:w="60" w:type="dxa"/>
              <w:left w:w="60" w:type="dxa"/>
              <w:bottom w:w="60" w:type="dxa"/>
              <w:right w:w="60" w:type="dxa"/>
            </w:tcMar>
            <w:hideMark/>
          </w:tcPr>
          <w:p w14:paraId="6E05F17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10.00%</w:t>
            </w:r>
          </w:p>
        </w:tc>
      </w:tr>
      <w:tr w:rsidR="00F26CF6" w:rsidRPr="000F378E" w14:paraId="713DA8E4"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3A5BC1F6"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Tax Rate</w:t>
            </w:r>
          </w:p>
        </w:tc>
        <w:tc>
          <w:tcPr>
            <w:tcW w:w="0" w:type="auto"/>
            <w:tcBorders>
              <w:top w:val="single" w:sz="6" w:space="0" w:color="DEE2E6"/>
            </w:tcBorders>
            <w:shd w:val="clear" w:color="auto" w:fill="FFFFFF"/>
            <w:tcMar>
              <w:top w:w="60" w:type="dxa"/>
              <w:left w:w="60" w:type="dxa"/>
              <w:bottom w:w="60" w:type="dxa"/>
              <w:right w:w="60" w:type="dxa"/>
            </w:tcMar>
            <w:hideMark/>
          </w:tcPr>
          <w:p w14:paraId="6D2CE03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30.00%</w:t>
            </w:r>
          </w:p>
        </w:tc>
        <w:tc>
          <w:tcPr>
            <w:tcW w:w="0" w:type="auto"/>
            <w:tcBorders>
              <w:top w:val="single" w:sz="6" w:space="0" w:color="DEE2E6"/>
            </w:tcBorders>
            <w:shd w:val="clear" w:color="auto" w:fill="FFFFFF"/>
            <w:tcMar>
              <w:top w:w="60" w:type="dxa"/>
              <w:left w:w="60" w:type="dxa"/>
              <w:bottom w:w="60" w:type="dxa"/>
              <w:right w:w="60" w:type="dxa"/>
            </w:tcMar>
            <w:hideMark/>
          </w:tcPr>
          <w:p w14:paraId="6DA1B23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30.00%</w:t>
            </w:r>
          </w:p>
        </w:tc>
        <w:tc>
          <w:tcPr>
            <w:tcW w:w="0" w:type="auto"/>
            <w:tcBorders>
              <w:top w:val="single" w:sz="6" w:space="0" w:color="DEE2E6"/>
            </w:tcBorders>
            <w:shd w:val="clear" w:color="auto" w:fill="FFFFFF"/>
            <w:tcMar>
              <w:top w:w="60" w:type="dxa"/>
              <w:left w:w="60" w:type="dxa"/>
              <w:bottom w:w="60" w:type="dxa"/>
              <w:right w:w="60" w:type="dxa"/>
            </w:tcMar>
            <w:hideMark/>
          </w:tcPr>
          <w:p w14:paraId="6F3F7A24"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30.00%</w:t>
            </w:r>
          </w:p>
        </w:tc>
      </w:tr>
      <w:tr w:rsidR="00F26CF6" w:rsidRPr="000F378E" w14:paraId="1E427C33"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65852FB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Other</w:t>
            </w:r>
          </w:p>
        </w:tc>
        <w:tc>
          <w:tcPr>
            <w:tcW w:w="0" w:type="auto"/>
            <w:shd w:val="clear" w:color="auto" w:fill="FFFFFF"/>
            <w:vAlign w:val="center"/>
            <w:hideMark/>
          </w:tcPr>
          <w:p w14:paraId="4185115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shd w:val="clear" w:color="auto" w:fill="FFFFFF"/>
            <w:vAlign w:val="center"/>
            <w:hideMark/>
          </w:tcPr>
          <w:p w14:paraId="28F732D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shd w:val="clear" w:color="auto" w:fill="FFFFFF"/>
            <w:vAlign w:val="center"/>
            <w:hideMark/>
          </w:tcPr>
          <w:p w14:paraId="2E661BB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bl>
    <w:p w14:paraId="0416EA18" w14:textId="73C2A2FC" w:rsidR="00F26CF6" w:rsidRPr="000F378E" w:rsidRDefault="00F26CF6" w:rsidP="000F378E">
      <w:pPr>
        <w:spacing w:line="360" w:lineRule="auto"/>
        <w:jc w:val="both"/>
        <w:rPr>
          <w:rFonts w:ascii="Times New Roman" w:hAnsi="Times New Roman" w:cs="Times New Roman"/>
          <w:color w:val="000000" w:themeColor="text1"/>
          <w:u w:val="single"/>
          <w:shd w:val="clear" w:color="auto" w:fill="FFFFFF"/>
        </w:rPr>
      </w:pPr>
      <w:r w:rsidRPr="000F378E">
        <w:rPr>
          <w:rFonts w:ascii="Times New Roman" w:hAnsi="Times New Roman" w:cs="Times New Roman"/>
          <w:color w:val="000000" w:themeColor="text1"/>
          <w:u w:val="single"/>
          <w:shd w:val="clear" w:color="auto" w:fill="FFFFFF"/>
        </w:rPr>
        <w:t>Table 2: Profit &amp; Loss Forecast</w:t>
      </w:r>
    </w:p>
    <w:tbl>
      <w:tblPr>
        <w:tblW w:w="7200" w:type="dxa"/>
        <w:shd w:val="clear" w:color="auto" w:fill="FFFFFF"/>
        <w:tblCellMar>
          <w:top w:w="15" w:type="dxa"/>
          <w:left w:w="15" w:type="dxa"/>
          <w:bottom w:w="15" w:type="dxa"/>
          <w:right w:w="15" w:type="dxa"/>
        </w:tblCellMar>
        <w:tblLook w:val="04A0" w:firstRow="1" w:lastRow="0" w:firstColumn="1" w:lastColumn="0" w:noHBand="0" w:noVBand="1"/>
      </w:tblPr>
      <w:tblGrid>
        <w:gridCol w:w="3540"/>
        <w:gridCol w:w="1220"/>
        <w:gridCol w:w="1220"/>
        <w:gridCol w:w="1220"/>
      </w:tblGrid>
      <w:tr w:rsidR="00F26CF6" w:rsidRPr="000F378E" w14:paraId="16A523C5"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0B01D18F"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Sales</w:t>
            </w:r>
          </w:p>
        </w:tc>
        <w:tc>
          <w:tcPr>
            <w:tcW w:w="0" w:type="auto"/>
            <w:tcBorders>
              <w:top w:val="single" w:sz="6" w:space="0" w:color="DEE2E6"/>
            </w:tcBorders>
            <w:shd w:val="clear" w:color="auto" w:fill="FFFFFF"/>
            <w:tcMar>
              <w:top w:w="60" w:type="dxa"/>
              <w:left w:w="60" w:type="dxa"/>
              <w:bottom w:w="60" w:type="dxa"/>
              <w:right w:w="60" w:type="dxa"/>
            </w:tcMar>
            <w:hideMark/>
          </w:tcPr>
          <w:p w14:paraId="5FD1231B"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$10,093,028</w:t>
            </w:r>
          </w:p>
        </w:tc>
        <w:tc>
          <w:tcPr>
            <w:tcW w:w="0" w:type="auto"/>
            <w:tcBorders>
              <w:top w:val="single" w:sz="6" w:space="0" w:color="DEE2E6"/>
            </w:tcBorders>
            <w:shd w:val="clear" w:color="auto" w:fill="FFFFFF"/>
            <w:tcMar>
              <w:top w:w="60" w:type="dxa"/>
              <w:left w:w="60" w:type="dxa"/>
              <w:bottom w:w="60" w:type="dxa"/>
              <w:right w:w="60" w:type="dxa"/>
            </w:tcMar>
            <w:hideMark/>
          </w:tcPr>
          <w:p w14:paraId="753C9993"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$12,111,634</w:t>
            </w:r>
          </w:p>
        </w:tc>
        <w:tc>
          <w:tcPr>
            <w:tcW w:w="0" w:type="auto"/>
            <w:tcBorders>
              <w:top w:val="single" w:sz="6" w:space="0" w:color="DEE2E6"/>
            </w:tcBorders>
            <w:shd w:val="clear" w:color="auto" w:fill="FFFFFF"/>
            <w:tcMar>
              <w:top w:w="60" w:type="dxa"/>
              <w:left w:w="60" w:type="dxa"/>
              <w:bottom w:w="60" w:type="dxa"/>
              <w:right w:w="60" w:type="dxa"/>
            </w:tcMar>
            <w:hideMark/>
          </w:tcPr>
          <w:p w14:paraId="30DC8348"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$14,533,960</w:t>
            </w:r>
          </w:p>
        </w:tc>
      </w:tr>
      <w:tr w:rsidR="00F26CF6" w:rsidRPr="000F378E" w14:paraId="5823D228"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585A0266"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Direct Cost of Sales</w:t>
            </w:r>
          </w:p>
        </w:tc>
        <w:tc>
          <w:tcPr>
            <w:tcW w:w="0" w:type="auto"/>
            <w:tcBorders>
              <w:top w:val="single" w:sz="6" w:space="0" w:color="DEE2E6"/>
            </w:tcBorders>
            <w:shd w:val="clear" w:color="auto" w:fill="FFFFFF"/>
            <w:tcMar>
              <w:top w:w="60" w:type="dxa"/>
              <w:left w:w="60" w:type="dxa"/>
              <w:bottom w:w="60" w:type="dxa"/>
              <w:right w:w="60" w:type="dxa"/>
            </w:tcMar>
            <w:hideMark/>
          </w:tcPr>
          <w:p w14:paraId="101AE7FD"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$8,074,422</w:t>
            </w:r>
          </w:p>
        </w:tc>
        <w:tc>
          <w:tcPr>
            <w:tcW w:w="0" w:type="auto"/>
            <w:tcBorders>
              <w:top w:val="single" w:sz="6" w:space="0" w:color="DEE2E6"/>
            </w:tcBorders>
            <w:shd w:val="clear" w:color="auto" w:fill="FFFFFF"/>
            <w:tcMar>
              <w:top w:w="60" w:type="dxa"/>
              <w:left w:w="60" w:type="dxa"/>
              <w:bottom w:w="60" w:type="dxa"/>
              <w:right w:w="60" w:type="dxa"/>
            </w:tcMar>
            <w:hideMark/>
          </w:tcPr>
          <w:p w14:paraId="73427BB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$8,478,144</w:t>
            </w:r>
          </w:p>
        </w:tc>
        <w:tc>
          <w:tcPr>
            <w:tcW w:w="0" w:type="auto"/>
            <w:tcBorders>
              <w:top w:val="single" w:sz="6" w:space="0" w:color="DEE2E6"/>
            </w:tcBorders>
            <w:shd w:val="clear" w:color="auto" w:fill="FFFFFF"/>
            <w:tcMar>
              <w:top w:w="60" w:type="dxa"/>
              <w:left w:w="60" w:type="dxa"/>
              <w:bottom w:w="60" w:type="dxa"/>
              <w:right w:w="60" w:type="dxa"/>
            </w:tcMar>
            <w:hideMark/>
          </w:tcPr>
          <w:p w14:paraId="5891457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$10,173,772</w:t>
            </w:r>
          </w:p>
        </w:tc>
      </w:tr>
      <w:tr w:rsidR="00F26CF6" w:rsidRPr="000F378E" w14:paraId="0C4F6F79"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71422B2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Sales Commission</w:t>
            </w:r>
          </w:p>
        </w:tc>
        <w:tc>
          <w:tcPr>
            <w:tcW w:w="0" w:type="auto"/>
            <w:tcBorders>
              <w:top w:val="single" w:sz="6" w:space="0" w:color="DEE2E6"/>
            </w:tcBorders>
            <w:shd w:val="clear" w:color="auto" w:fill="FFFFFF"/>
            <w:tcMar>
              <w:top w:w="60" w:type="dxa"/>
              <w:left w:w="60" w:type="dxa"/>
              <w:bottom w:w="60" w:type="dxa"/>
              <w:right w:w="60" w:type="dxa"/>
            </w:tcMar>
            <w:hideMark/>
          </w:tcPr>
          <w:p w14:paraId="127DB90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$504,651</w:t>
            </w:r>
          </w:p>
        </w:tc>
        <w:tc>
          <w:tcPr>
            <w:tcW w:w="0" w:type="auto"/>
            <w:tcBorders>
              <w:top w:val="single" w:sz="6" w:space="0" w:color="DEE2E6"/>
            </w:tcBorders>
            <w:shd w:val="clear" w:color="auto" w:fill="FFFFFF"/>
            <w:tcMar>
              <w:top w:w="60" w:type="dxa"/>
              <w:left w:w="60" w:type="dxa"/>
              <w:bottom w:w="60" w:type="dxa"/>
              <w:right w:w="60" w:type="dxa"/>
            </w:tcMar>
            <w:hideMark/>
          </w:tcPr>
          <w:p w14:paraId="7C3111B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$605,582</w:t>
            </w:r>
          </w:p>
        </w:tc>
        <w:tc>
          <w:tcPr>
            <w:tcW w:w="0" w:type="auto"/>
            <w:tcBorders>
              <w:top w:val="single" w:sz="6" w:space="0" w:color="DEE2E6"/>
            </w:tcBorders>
            <w:shd w:val="clear" w:color="auto" w:fill="FFFFFF"/>
            <w:tcMar>
              <w:top w:w="60" w:type="dxa"/>
              <w:left w:w="60" w:type="dxa"/>
              <w:bottom w:w="60" w:type="dxa"/>
              <w:right w:w="60" w:type="dxa"/>
            </w:tcMar>
            <w:hideMark/>
          </w:tcPr>
          <w:p w14:paraId="0182A70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$726,698</w:t>
            </w:r>
          </w:p>
        </w:tc>
      </w:tr>
      <w:tr w:rsidR="00F26CF6" w:rsidRPr="000F378E" w14:paraId="58DC777E"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5E742EF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Total Cost of Sales</w:t>
            </w:r>
          </w:p>
        </w:tc>
        <w:tc>
          <w:tcPr>
            <w:tcW w:w="0" w:type="auto"/>
            <w:tcBorders>
              <w:top w:val="single" w:sz="6" w:space="0" w:color="DEE2E6"/>
            </w:tcBorders>
            <w:shd w:val="clear" w:color="auto" w:fill="FFFFFF"/>
            <w:tcMar>
              <w:top w:w="60" w:type="dxa"/>
              <w:left w:w="60" w:type="dxa"/>
              <w:bottom w:w="60" w:type="dxa"/>
              <w:right w:w="60" w:type="dxa"/>
            </w:tcMar>
            <w:hideMark/>
          </w:tcPr>
          <w:p w14:paraId="2A3A1C3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$8,579,074</w:t>
            </w:r>
          </w:p>
        </w:tc>
        <w:tc>
          <w:tcPr>
            <w:tcW w:w="0" w:type="auto"/>
            <w:tcBorders>
              <w:top w:val="single" w:sz="6" w:space="0" w:color="DEE2E6"/>
            </w:tcBorders>
            <w:shd w:val="clear" w:color="auto" w:fill="FFFFFF"/>
            <w:tcMar>
              <w:top w:w="60" w:type="dxa"/>
              <w:left w:w="60" w:type="dxa"/>
              <w:bottom w:w="60" w:type="dxa"/>
              <w:right w:w="60" w:type="dxa"/>
            </w:tcMar>
            <w:hideMark/>
          </w:tcPr>
          <w:p w14:paraId="125A77B4"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$9,083,725</w:t>
            </w:r>
          </w:p>
        </w:tc>
        <w:tc>
          <w:tcPr>
            <w:tcW w:w="0" w:type="auto"/>
            <w:tcBorders>
              <w:top w:val="single" w:sz="6" w:space="0" w:color="DEE2E6"/>
            </w:tcBorders>
            <w:shd w:val="clear" w:color="auto" w:fill="FFFFFF"/>
            <w:tcMar>
              <w:top w:w="60" w:type="dxa"/>
              <w:left w:w="60" w:type="dxa"/>
              <w:bottom w:w="60" w:type="dxa"/>
              <w:right w:w="60" w:type="dxa"/>
            </w:tcMar>
            <w:hideMark/>
          </w:tcPr>
          <w:p w14:paraId="33AEED90"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$10,900,470</w:t>
            </w:r>
          </w:p>
        </w:tc>
      </w:tr>
      <w:tr w:rsidR="00F26CF6" w:rsidRPr="000F378E" w14:paraId="3CCDF889"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1CE0EFD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7C5F025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63E9DCF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1DCF827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3DB1D4B4"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4C474A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Gross Margin</w:t>
            </w:r>
          </w:p>
        </w:tc>
        <w:tc>
          <w:tcPr>
            <w:tcW w:w="0" w:type="auto"/>
            <w:tcBorders>
              <w:top w:val="single" w:sz="6" w:space="0" w:color="DEE2E6"/>
            </w:tcBorders>
            <w:shd w:val="clear" w:color="auto" w:fill="FFFFFF"/>
            <w:tcMar>
              <w:top w:w="60" w:type="dxa"/>
              <w:left w:w="60" w:type="dxa"/>
              <w:bottom w:w="60" w:type="dxa"/>
              <w:right w:w="60" w:type="dxa"/>
            </w:tcMar>
            <w:hideMark/>
          </w:tcPr>
          <w:p w14:paraId="3FBC6FE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$1,513,954</w:t>
            </w:r>
          </w:p>
        </w:tc>
        <w:tc>
          <w:tcPr>
            <w:tcW w:w="0" w:type="auto"/>
            <w:tcBorders>
              <w:top w:val="single" w:sz="6" w:space="0" w:color="DEE2E6"/>
            </w:tcBorders>
            <w:shd w:val="clear" w:color="auto" w:fill="FFFFFF"/>
            <w:tcMar>
              <w:top w:w="60" w:type="dxa"/>
              <w:left w:w="60" w:type="dxa"/>
              <w:bottom w:w="60" w:type="dxa"/>
              <w:right w:w="60" w:type="dxa"/>
            </w:tcMar>
            <w:hideMark/>
          </w:tcPr>
          <w:p w14:paraId="3B1CE79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$3,027,908</w:t>
            </w:r>
          </w:p>
        </w:tc>
        <w:tc>
          <w:tcPr>
            <w:tcW w:w="0" w:type="auto"/>
            <w:tcBorders>
              <w:top w:val="single" w:sz="6" w:space="0" w:color="DEE2E6"/>
            </w:tcBorders>
            <w:shd w:val="clear" w:color="auto" w:fill="FFFFFF"/>
            <w:tcMar>
              <w:top w:w="60" w:type="dxa"/>
              <w:left w:w="60" w:type="dxa"/>
              <w:bottom w:w="60" w:type="dxa"/>
              <w:right w:w="60" w:type="dxa"/>
            </w:tcMar>
            <w:hideMark/>
          </w:tcPr>
          <w:p w14:paraId="5EECCE4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$3,633,490</w:t>
            </w:r>
          </w:p>
        </w:tc>
      </w:tr>
      <w:tr w:rsidR="00F26CF6" w:rsidRPr="000F378E" w14:paraId="564B9E78"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6A39DA9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Gross Margin %</w:t>
            </w:r>
          </w:p>
        </w:tc>
        <w:tc>
          <w:tcPr>
            <w:tcW w:w="0" w:type="auto"/>
            <w:tcBorders>
              <w:top w:val="single" w:sz="6" w:space="0" w:color="DEE2E6"/>
            </w:tcBorders>
            <w:shd w:val="clear" w:color="auto" w:fill="FFFFFF"/>
            <w:tcMar>
              <w:top w:w="60" w:type="dxa"/>
              <w:left w:w="60" w:type="dxa"/>
              <w:bottom w:w="60" w:type="dxa"/>
              <w:right w:w="60" w:type="dxa"/>
            </w:tcMar>
            <w:hideMark/>
          </w:tcPr>
          <w:p w14:paraId="48841E4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15.00%</w:t>
            </w:r>
          </w:p>
        </w:tc>
        <w:tc>
          <w:tcPr>
            <w:tcW w:w="0" w:type="auto"/>
            <w:tcBorders>
              <w:top w:val="single" w:sz="6" w:space="0" w:color="DEE2E6"/>
            </w:tcBorders>
            <w:shd w:val="clear" w:color="auto" w:fill="FFFFFF"/>
            <w:tcMar>
              <w:top w:w="60" w:type="dxa"/>
              <w:left w:w="60" w:type="dxa"/>
              <w:bottom w:w="60" w:type="dxa"/>
              <w:right w:w="60" w:type="dxa"/>
            </w:tcMar>
            <w:hideMark/>
          </w:tcPr>
          <w:p w14:paraId="0F8AB64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25.00%</w:t>
            </w:r>
          </w:p>
        </w:tc>
        <w:tc>
          <w:tcPr>
            <w:tcW w:w="0" w:type="auto"/>
            <w:tcBorders>
              <w:top w:val="single" w:sz="6" w:space="0" w:color="DEE2E6"/>
            </w:tcBorders>
            <w:shd w:val="clear" w:color="auto" w:fill="FFFFFF"/>
            <w:tcMar>
              <w:top w:w="60" w:type="dxa"/>
              <w:left w:w="60" w:type="dxa"/>
              <w:bottom w:w="60" w:type="dxa"/>
              <w:right w:w="60" w:type="dxa"/>
            </w:tcMar>
            <w:hideMark/>
          </w:tcPr>
          <w:p w14:paraId="577FA0E0"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25.00%</w:t>
            </w:r>
          </w:p>
        </w:tc>
      </w:tr>
      <w:tr w:rsidR="00F26CF6" w:rsidRPr="000F378E" w14:paraId="00937CE3"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2E0B4D6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02A5C3F6"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2C5B6FC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ADC4D6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3CD51E67"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352AB09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1C6279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69E9A5C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38ABF2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6D5E9678"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56FC3553"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lastRenderedPageBreak/>
              <w:t>Expenses</w:t>
            </w:r>
          </w:p>
        </w:tc>
        <w:tc>
          <w:tcPr>
            <w:tcW w:w="0" w:type="auto"/>
            <w:tcBorders>
              <w:top w:val="single" w:sz="6" w:space="0" w:color="DEE2E6"/>
            </w:tcBorders>
            <w:shd w:val="clear" w:color="auto" w:fill="FFFFFF"/>
            <w:tcMar>
              <w:top w:w="60" w:type="dxa"/>
              <w:left w:w="60" w:type="dxa"/>
              <w:bottom w:w="60" w:type="dxa"/>
              <w:right w:w="60" w:type="dxa"/>
            </w:tcMar>
            <w:hideMark/>
          </w:tcPr>
          <w:p w14:paraId="24969E2D"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13EE2D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2491185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6A7E9A9C"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60BF588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Payroll</w:t>
            </w:r>
          </w:p>
        </w:tc>
        <w:tc>
          <w:tcPr>
            <w:tcW w:w="0" w:type="auto"/>
            <w:tcBorders>
              <w:top w:val="single" w:sz="6" w:space="0" w:color="DEE2E6"/>
            </w:tcBorders>
            <w:shd w:val="clear" w:color="auto" w:fill="FFFFFF"/>
            <w:tcMar>
              <w:top w:w="60" w:type="dxa"/>
              <w:left w:w="60" w:type="dxa"/>
              <w:bottom w:w="60" w:type="dxa"/>
              <w:right w:w="60" w:type="dxa"/>
            </w:tcMar>
            <w:hideMark/>
          </w:tcPr>
          <w:p w14:paraId="27B4124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$175,200</w:t>
            </w:r>
          </w:p>
        </w:tc>
        <w:tc>
          <w:tcPr>
            <w:tcW w:w="0" w:type="auto"/>
            <w:tcBorders>
              <w:top w:val="single" w:sz="6" w:space="0" w:color="DEE2E6"/>
            </w:tcBorders>
            <w:shd w:val="clear" w:color="auto" w:fill="FFFFFF"/>
            <w:tcMar>
              <w:top w:w="60" w:type="dxa"/>
              <w:left w:w="60" w:type="dxa"/>
              <w:bottom w:w="60" w:type="dxa"/>
              <w:right w:w="60" w:type="dxa"/>
            </w:tcMar>
            <w:hideMark/>
          </w:tcPr>
          <w:p w14:paraId="422E0276"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$194,640</w:t>
            </w:r>
          </w:p>
        </w:tc>
        <w:tc>
          <w:tcPr>
            <w:tcW w:w="0" w:type="auto"/>
            <w:tcBorders>
              <w:top w:val="single" w:sz="6" w:space="0" w:color="DEE2E6"/>
            </w:tcBorders>
            <w:shd w:val="clear" w:color="auto" w:fill="FFFFFF"/>
            <w:tcMar>
              <w:top w:w="60" w:type="dxa"/>
              <w:left w:w="60" w:type="dxa"/>
              <w:bottom w:w="60" w:type="dxa"/>
              <w:right w:w="60" w:type="dxa"/>
            </w:tcMar>
            <w:hideMark/>
          </w:tcPr>
          <w:p w14:paraId="7A214C7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$227,532</w:t>
            </w:r>
          </w:p>
        </w:tc>
      </w:tr>
      <w:tr w:rsidR="00F26CF6" w:rsidRPr="000F378E" w14:paraId="03D83001"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15FE53C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Sales and Marketing and Other Expenses</w:t>
            </w:r>
          </w:p>
        </w:tc>
        <w:tc>
          <w:tcPr>
            <w:tcW w:w="0" w:type="auto"/>
            <w:tcBorders>
              <w:top w:val="single" w:sz="6" w:space="0" w:color="DEE2E6"/>
            </w:tcBorders>
            <w:shd w:val="clear" w:color="auto" w:fill="FFFFFF"/>
            <w:tcMar>
              <w:top w:w="60" w:type="dxa"/>
              <w:left w:w="60" w:type="dxa"/>
              <w:bottom w:w="60" w:type="dxa"/>
              <w:right w:w="60" w:type="dxa"/>
            </w:tcMar>
            <w:hideMark/>
          </w:tcPr>
          <w:p w14:paraId="58E0AB7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$180,000</w:t>
            </w:r>
          </w:p>
        </w:tc>
        <w:tc>
          <w:tcPr>
            <w:tcW w:w="0" w:type="auto"/>
            <w:tcBorders>
              <w:top w:val="single" w:sz="6" w:space="0" w:color="DEE2E6"/>
            </w:tcBorders>
            <w:shd w:val="clear" w:color="auto" w:fill="FFFFFF"/>
            <w:tcMar>
              <w:top w:w="60" w:type="dxa"/>
              <w:left w:w="60" w:type="dxa"/>
              <w:bottom w:w="60" w:type="dxa"/>
              <w:right w:w="60" w:type="dxa"/>
            </w:tcMar>
            <w:hideMark/>
          </w:tcPr>
          <w:p w14:paraId="3E1FF570"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$189,000</w:t>
            </w:r>
          </w:p>
        </w:tc>
        <w:tc>
          <w:tcPr>
            <w:tcW w:w="0" w:type="auto"/>
            <w:tcBorders>
              <w:top w:val="single" w:sz="6" w:space="0" w:color="DEE2E6"/>
            </w:tcBorders>
            <w:shd w:val="clear" w:color="auto" w:fill="FFFFFF"/>
            <w:tcMar>
              <w:top w:w="60" w:type="dxa"/>
              <w:left w:w="60" w:type="dxa"/>
              <w:bottom w:w="60" w:type="dxa"/>
              <w:right w:w="60" w:type="dxa"/>
            </w:tcMar>
            <w:hideMark/>
          </w:tcPr>
          <w:p w14:paraId="6B179C6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$198,450</w:t>
            </w:r>
          </w:p>
        </w:tc>
      </w:tr>
      <w:tr w:rsidR="00F26CF6" w:rsidRPr="000F378E" w14:paraId="39103920"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17B65156"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Depreciation</w:t>
            </w:r>
          </w:p>
        </w:tc>
        <w:tc>
          <w:tcPr>
            <w:tcW w:w="0" w:type="auto"/>
            <w:tcBorders>
              <w:top w:val="single" w:sz="6" w:space="0" w:color="DEE2E6"/>
            </w:tcBorders>
            <w:shd w:val="clear" w:color="auto" w:fill="FFFFFF"/>
            <w:tcMar>
              <w:top w:w="60" w:type="dxa"/>
              <w:left w:w="60" w:type="dxa"/>
              <w:bottom w:w="60" w:type="dxa"/>
              <w:right w:w="60" w:type="dxa"/>
            </w:tcMar>
            <w:hideMark/>
          </w:tcPr>
          <w:p w14:paraId="485B01D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$14,400</w:t>
            </w:r>
          </w:p>
        </w:tc>
        <w:tc>
          <w:tcPr>
            <w:tcW w:w="0" w:type="auto"/>
            <w:tcBorders>
              <w:top w:val="single" w:sz="6" w:space="0" w:color="DEE2E6"/>
            </w:tcBorders>
            <w:shd w:val="clear" w:color="auto" w:fill="FFFFFF"/>
            <w:tcMar>
              <w:top w:w="60" w:type="dxa"/>
              <w:left w:w="60" w:type="dxa"/>
              <w:bottom w:w="60" w:type="dxa"/>
              <w:right w:w="60" w:type="dxa"/>
            </w:tcMar>
            <w:hideMark/>
          </w:tcPr>
          <w:p w14:paraId="66629EB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$14,400</w:t>
            </w:r>
          </w:p>
        </w:tc>
        <w:tc>
          <w:tcPr>
            <w:tcW w:w="0" w:type="auto"/>
            <w:tcBorders>
              <w:top w:val="single" w:sz="6" w:space="0" w:color="DEE2E6"/>
            </w:tcBorders>
            <w:shd w:val="clear" w:color="auto" w:fill="FFFFFF"/>
            <w:tcMar>
              <w:top w:w="60" w:type="dxa"/>
              <w:left w:w="60" w:type="dxa"/>
              <w:bottom w:w="60" w:type="dxa"/>
              <w:right w:w="60" w:type="dxa"/>
            </w:tcMar>
            <w:hideMark/>
          </w:tcPr>
          <w:p w14:paraId="7070F91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$14,400</w:t>
            </w:r>
          </w:p>
        </w:tc>
      </w:tr>
      <w:tr w:rsidR="00F26CF6" w:rsidRPr="000F378E" w14:paraId="72F1C190"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3E6C57C4"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Rent</w:t>
            </w:r>
          </w:p>
        </w:tc>
        <w:tc>
          <w:tcPr>
            <w:tcW w:w="0" w:type="auto"/>
            <w:tcBorders>
              <w:top w:val="single" w:sz="6" w:space="0" w:color="DEE2E6"/>
            </w:tcBorders>
            <w:shd w:val="clear" w:color="auto" w:fill="FFFFFF"/>
            <w:tcMar>
              <w:top w:w="60" w:type="dxa"/>
              <w:left w:w="60" w:type="dxa"/>
              <w:bottom w:w="60" w:type="dxa"/>
              <w:right w:w="60" w:type="dxa"/>
            </w:tcMar>
            <w:hideMark/>
          </w:tcPr>
          <w:p w14:paraId="5D6FDD8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$60,000</w:t>
            </w:r>
          </w:p>
        </w:tc>
        <w:tc>
          <w:tcPr>
            <w:tcW w:w="0" w:type="auto"/>
            <w:tcBorders>
              <w:top w:val="single" w:sz="6" w:space="0" w:color="DEE2E6"/>
            </w:tcBorders>
            <w:shd w:val="clear" w:color="auto" w:fill="FFFFFF"/>
            <w:tcMar>
              <w:top w:w="60" w:type="dxa"/>
              <w:left w:w="60" w:type="dxa"/>
              <w:bottom w:w="60" w:type="dxa"/>
              <w:right w:w="60" w:type="dxa"/>
            </w:tcMar>
            <w:hideMark/>
          </w:tcPr>
          <w:p w14:paraId="27938B3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$60,000</w:t>
            </w:r>
          </w:p>
        </w:tc>
        <w:tc>
          <w:tcPr>
            <w:tcW w:w="0" w:type="auto"/>
            <w:tcBorders>
              <w:top w:val="single" w:sz="6" w:space="0" w:color="DEE2E6"/>
            </w:tcBorders>
            <w:shd w:val="clear" w:color="auto" w:fill="FFFFFF"/>
            <w:tcMar>
              <w:top w:w="60" w:type="dxa"/>
              <w:left w:w="60" w:type="dxa"/>
              <w:bottom w:w="60" w:type="dxa"/>
              <w:right w:w="60" w:type="dxa"/>
            </w:tcMar>
            <w:hideMark/>
          </w:tcPr>
          <w:p w14:paraId="6251B09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$60,000</w:t>
            </w:r>
          </w:p>
        </w:tc>
      </w:tr>
      <w:tr w:rsidR="00F26CF6" w:rsidRPr="000F378E" w14:paraId="35CA0813"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3F9BB08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Utilities (Including costs of photovoltaic cell maintenance)</w:t>
            </w:r>
          </w:p>
        </w:tc>
        <w:tc>
          <w:tcPr>
            <w:tcW w:w="0" w:type="auto"/>
            <w:tcBorders>
              <w:top w:val="single" w:sz="6" w:space="0" w:color="DEE2E6"/>
            </w:tcBorders>
            <w:shd w:val="clear" w:color="auto" w:fill="FFFFFF"/>
            <w:tcMar>
              <w:top w:w="60" w:type="dxa"/>
              <w:left w:w="60" w:type="dxa"/>
              <w:bottom w:w="60" w:type="dxa"/>
              <w:right w:w="60" w:type="dxa"/>
            </w:tcMar>
            <w:hideMark/>
          </w:tcPr>
          <w:p w14:paraId="52D08875"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$18,000</w:t>
            </w:r>
          </w:p>
        </w:tc>
        <w:tc>
          <w:tcPr>
            <w:tcW w:w="0" w:type="auto"/>
            <w:tcBorders>
              <w:top w:val="single" w:sz="6" w:space="0" w:color="DEE2E6"/>
            </w:tcBorders>
            <w:shd w:val="clear" w:color="auto" w:fill="FFFFFF"/>
            <w:tcMar>
              <w:top w:w="60" w:type="dxa"/>
              <w:left w:w="60" w:type="dxa"/>
              <w:bottom w:w="60" w:type="dxa"/>
              <w:right w:w="60" w:type="dxa"/>
            </w:tcMar>
            <w:hideMark/>
          </w:tcPr>
          <w:p w14:paraId="250FC0AE"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$18,900</w:t>
            </w:r>
          </w:p>
        </w:tc>
        <w:tc>
          <w:tcPr>
            <w:tcW w:w="0" w:type="auto"/>
            <w:tcBorders>
              <w:top w:val="single" w:sz="6" w:space="0" w:color="DEE2E6"/>
            </w:tcBorders>
            <w:shd w:val="clear" w:color="auto" w:fill="FFFFFF"/>
            <w:tcMar>
              <w:top w:w="60" w:type="dxa"/>
              <w:left w:w="60" w:type="dxa"/>
              <w:bottom w:w="60" w:type="dxa"/>
              <w:right w:w="60" w:type="dxa"/>
            </w:tcMar>
            <w:hideMark/>
          </w:tcPr>
          <w:p w14:paraId="685F945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$19,845</w:t>
            </w:r>
          </w:p>
        </w:tc>
      </w:tr>
      <w:tr w:rsidR="00F26CF6" w:rsidRPr="000F378E" w14:paraId="34C6CB8C"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22A4852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Insurance</w:t>
            </w:r>
          </w:p>
        </w:tc>
        <w:tc>
          <w:tcPr>
            <w:tcW w:w="0" w:type="auto"/>
            <w:tcBorders>
              <w:top w:val="single" w:sz="6" w:space="0" w:color="DEE2E6"/>
            </w:tcBorders>
            <w:shd w:val="clear" w:color="auto" w:fill="FFFFFF"/>
            <w:tcMar>
              <w:top w:w="60" w:type="dxa"/>
              <w:left w:w="60" w:type="dxa"/>
              <w:bottom w:w="60" w:type="dxa"/>
              <w:right w:w="60" w:type="dxa"/>
            </w:tcMar>
            <w:hideMark/>
          </w:tcPr>
          <w:p w14:paraId="1C9561F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$2,400</w:t>
            </w:r>
          </w:p>
        </w:tc>
        <w:tc>
          <w:tcPr>
            <w:tcW w:w="0" w:type="auto"/>
            <w:tcBorders>
              <w:top w:val="single" w:sz="6" w:space="0" w:color="DEE2E6"/>
            </w:tcBorders>
            <w:shd w:val="clear" w:color="auto" w:fill="FFFFFF"/>
            <w:tcMar>
              <w:top w:w="60" w:type="dxa"/>
              <w:left w:w="60" w:type="dxa"/>
              <w:bottom w:w="60" w:type="dxa"/>
              <w:right w:w="60" w:type="dxa"/>
            </w:tcMar>
            <w:hideMark/>
          </w:tcPr>
          <w:p w14:paraId="29DB318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$2,400</w:t>
            </w:r>
          </w:p>
        </w:tc>
        <w:tc>
          <w:tcPr>
            <w:tcW w:w="0" w:type="auto"/>
            <w:tcBorders>
              <w:top w:val="single" w:sz="6" w:space="0" w:color="DEE2E6"/>
            </w:tcBorders>
            <w:shd w:val="clear" w:color="auto" w:fill="FFFFFF"/>
            <w:tcMar>
              <w:top w:w="60" w:type="dxa"/>
              <w:left w:w="60" w:type="dxa"/>
              <w:bottom w:w="60" w:type="dxa"/>
              <w:right w:w="60" w:type="dxa"/>
            </w:tcMar>
            <w:hideMark/>
          </w:tcPr>
          <w:p w14:paraId="590876E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$2,400</w:t>
            </w:r>
          </w:p>
        </w:tc>
      </w:tr>
      <w:tr w:rsidR="00F26CF6" w:rsidRPr="000F378E" w14:paraId="7FC2AA87"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97B79D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Payroll Taxes</w:t>
            </w:r>
          </w:p>
        </w:tc>
        <w:tc>
          <w:tcPr>
            <w:tcW w:w="0" w:type="auto"/>
            <w:tcBorders>
              <w:top w:val="single" w:sz="6" w:space="0" w:color="DEE2E6"/>
            </w:tcBorders>
            <w:shd w:val="clear" w:color="auto" w:fill="FFFFFF"/>
            <w:tcMar>
              <w:top w:w="60" w:type="dxa"/>
              <w:left w:w="60" w:type="dxa"/>
              <w:bottom w:w="60" w:type="dxa"/>
              <w:right w:w="60" w:type="dxa"/>
            </w:tcMar>
            <w:hideMark/>
          </w:tcPr>
          <w:p w14:paraId="20FE585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$26,280</w:t>
            </w:r>
          </w:p>
        </w:tc>
        <w:tc>
          <w:tcPr>
            <w:tcW w:w="0" w:type="auto"/>
            <w:tcBorders>
              <w:top w:val="single" w:sz="6" w:space="0" w:color="DEE2E6"/>
            </w:tcBorders>
            <w:shd w:val="clear" w:color="auto" w:fill="FFFFFF"/>
            <w:tcMar>
              <w:top w:w="60" w:type="dxa"/>
              <w:left w:w="60" w:type="dxa"/>
              <w:bottom w:w="60" w:type="dxa"/>
              <w:right w:w="60" w:type="dxa"/>
            </w:tcMar>
            <w:hideMark/>
          </w:tcPr>
          <w:p w14:paraId="588EF72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$29,196</w:t>
            </w:r>
          </w:p>
        </w:tc>
        <w:tc>
          <w:tcPr>
            <w:tcW w:w="0" w:type="auto"/>
            <w:tcBorders>
              <w:top w:val="single" w:sz="6" w:space="0" w:color="DEE2E6"/>
            </w:tcBorders>
            <w:shd w:val="clear" w:color="auto" w:fill="FFFFFF"/>
            <w:tcMar>
              <w:top w:w="60" w:type="dxa"/>
              <w:left w:w="60" w:type="dxa"/>
              <w:bottom w:w="60" w:type="dxa"/>
              <w:right w:w="60" w:type="dxa"/>
            </w:tcMar>
            <w:hideMark/>
          </w:tcPr>
          <w:p w14:paraId="7FABE02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$34,130</w:t>
            </w:r>
          </w:p>
        </w:tc>
      </w:tr>
      <w:tr w:rsidR="00F26CF6" w:rsidRPr="000F378E" w14:paraId="26702A01"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6A14FB25"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Licensing</w:t>
            </w:r>
          </w:p>
        </w:tc>
        <w:tc>
          <w:tcPr>
            <w:tcW w:w="0" w:type="auto"/>
            <w:tcBorders>
              <w:top w:val="single" w:sz="6" w:space="0" w:color="DEE2E6"/>
            </w:tcBorders>
            <w:shd w:val="clear" w:color="auto" w:fill="FFFFFF"/>
            <w:tcMar>
              <w:top w:w="60" w:type="dxa"/>
              <w:left w:w="60" w:type="dxa"/>
              <w:bottom w:w="60" w:type="dxa"/>
              <w:right w:w="60" w:type="dxa"/>
            </w:tcMar>
            <w:hideMark/>
          </w:tcPr>
          <w:p w14:paraId="41F3AF4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$12,000</w:t>
            </w:r>
          </w:p>
        </w:tc>
        <w:tc>
          <w:tcPr>
            <w:tcW w:w="0" w:type="auto"/>
            <w:tcBorders>
              <w:top w:val="single" w:sz="6" w:space="0" w:color="DEE2E6"/>
            </w:tcBorders>
            <w:shd w:val="clear" w:color="auto" w:fill="FFFFFF"/>
            <w:tcMar>
              <w:top w:w="60" w:type="dxa"/>
              <w:left w:w="60" w:type="dxa"/>
              <w:bottom w:w="60" w:type="dxa"/>
              <w:right w:w="60" w:type="dxa"/>
            </w:tcMar>
            <w:hideMark/>
          </w:tcPr>
          <w:p w14:paraId="3C973145"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$12,000</w:t>
            </w:r>
          </w:p>
        </w:tc>
        <w:tc>
          <w:tcPr>
            <w:tcW w:w="0" w:type="auto"/>
            <w:tcBorders>
              <w:top w:val="single" w:sz="6" w:space="0" w:color="DEE2E6"/>
            </w:tcBorders>
            <w:shd w:val="clear" w:color="auto" w:fill="FFFFFF"/>
            <w:tcMar>
              <w:top w:w="60" w:type="dxa"/>
              <w:left w:w="60" w:type="dxa"/>
              <w:bottom w:w="60" w:type="dxa"/>
              <w:right w:w="60" w:type="dxa"/>
            </w:tcMar>
            <w:hideMark/>
          </w:tcPr>
          <w:p w14:paraId="0F4A0A0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$12,000</w:t>
            </w:r>
          </w:p>
        </w:tc>
      </w:tr>
      <w:tr w:rsidR="00F26CF6" w:rsidRPr="000F378E" w14:paraId="7502ECEC"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3808325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2D7F31F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03AD3AE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27B8BBA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5944D3AF"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0C4806FC"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Total Operating Expenses</w:t>
            </w:r>
          </w:p>
        </w:tc>
        <w:tc>
          <w:tcPr>
            <w:tcW w:w="0" w:type="auto"/>
            <w:tcBorders>
              <w:top w:val="single" w:sz="6" w:space="0" w:color="DEE2E6"/>
            </w:tcBorders>
            <w:shd w:val="clear" w:color="auto" w:fill="FFFFFF"/>
            <w:tcMar>
              <w:top w:w="60" w:type="dxa"/>
              <w:left w:w="60" w:type="dxa"/>
              <w:bottom w:w="60" w:type="dxa"/>
              <w:right w:w="60" w:type="dxa"/>
            </w:tcMar>
            <w:hideMark/>
          </w:tcPr>
          <w:p w14:paraId="42409EBB"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$488,280</w:t>
            </w:r>
          </w:p>
        </w:tc>
        <w:tc>
          <w:tcPr>
            <w:tcW w:w="0" w:type="auto"/>
            <w:tcBorders>
              <w:top w:val="single" w:sz="6" w:space="0" w:color="DEE2E6"/>
            </w:tcBorders>
            <w:shd w:val="clear" w:color="auto" w:fill="FFFFFF"/>
            <w:tcMar>
              <w:top w:w="60" w:type="dxa"/>
              <w:left w:w="60" w:type="dxa"/>
              <w:bottom w:w="60" w:type="dxa"/>
              <w:right w:w="60" w:type="dxa"/>
            </w:tcMar>
            <w:hideMark/>
          </w:tcPr>
          <w:p w14:paraId="441633B7"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$520,536</w:t>
            </w:r>
          </w:p>
        </w:tc>
        <w:tc>
          <w:tcPr>
            <w:tcW w:w="0" w:type="auto"/>
            <w:tcBorders>
              <w:top w:val="single" w:sz="6" w:space="0" w:color="DEE2E6"/>
            </w:tcBorders>
            <w:shd w:val="clear" w:color="auto" w:fill="FFFFFF"/>
            <w:tcMar>
              <w:top w:w="60" w:type="dxa"/>
              <w:left w:w="60" w:type="dxa"/>
              <w:bottom w:w="60" w:type="dxa"/>
              <w:right w:w="60" w:type="dxa"/>
            </w:tcMar>
            <w:hideMark/>
          </w:tcPr>
          <w:p w14:paraId="22CACDC5"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$568,757</w:t>
            </w:r>
          </w:p>
        </w:tc>
      </w:tr>
      <w:tr w:rsidR="00F26CF6" w:rsidRPr="000F378E" w14:paraId="3E8A362E"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079C79A"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1AEB2F6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B86F8D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1405D35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0367DE2F"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574D60A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Profit Before Interest and Taxes</w:t>
            </w:r>
          </w:p>
        </w:tc>
        <w:tc>
          <w:tcPr>
            <w:tcW w:w="0" w:type="auto"/>
            <w:tcBorders>
              <w:top w:val="single" w:sz="6" w:space="0" w:color="DEE2E6"/>
            </w:tcBorders>
            <w:shd w:val="clear" w:color="auto" w:fill="FFFFFF"/>
            <w:tcMar>
              <w:top w:w="60" w:type="dxa"/>
              <w:left w:w="60" w:type="dxa"/>
              <w:bottom w:w="60" w:type="dxa"/>
              <w:right w:w="60" w:type="dxa"/>
            </w:tcMar>
            <w:hideMark/>
          </w:tcPr>
          <w:p w14:paraId="4E8277C8"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$1,025,674</w:t>
            </w:r>
          </w:p>
        </w:tc>
        <w:tc>
          <w:tcPr>
            <w:tcW w:w="0" w:type="auto"/>
            <w:tcBorders>
              <w:top w:val="single" w:sz="6" w:space="0" w:color="DEE2E6"/>
            </w:tcBorders>
            <w:shd w:val="clear" w:color="auto" w:fill="FFFFFF"/>
            <w:tcMar>
              <w:top w:w="60" w:type="dxa"/>
              <w:left w:w="60" w:type="dxa"/>
              <w:bottom w:w="60" w:type="dxa"/>
              <w:right w:w="60" w:type="dxa"/>
            </w:tcMar>
            <w:hideMark/>
          </w:tcPr>
          <w:p w14:paraId="7E3A1090"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$2,507,372</w:t>
            </w:r>
          </w:p>
        </w:tc>
        <w:tc>
          <w:tcPr>
            <w:tcW w:w="0" w:type="auto"/>
            <w:tcBorders>
              <w:top w:val="single" w:sz="6" w:space="0" w:color="DEE2E6"/>
            </w:tcBorders>
            <w:shd w:val="clear" w:color="auto" w:fill="FFFFFF"/>
            <w:tcMar>
              <w:top w:w="60" w:type="dxa"/>
              <w:left w:w="60" w:type="dxa"/>
              <w:bottom w:w="60" w:type="dxa"/>
              <w:right w:w="60" w:type="dxa"/>
            </w:tcMar>
            <w:hideMark/>
          </w:tcPr>
          <w:p w14:paraId="149A6D8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$3,064,733</w:t>
            </w:r>
          </w:p>
        </w:tc>
      </w:tr>
      <w:tr w:rsidR="00F26CF6" w:rsidRPr="000F378E" w14:paraId="03466E95"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2C36F44"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lastRenderedPageBreak/>
              <w:t>EBITDA</w:t>
            </w:r>
          </w:p>
        </w:tc>
        <w:tc>
          <w:tcPr>
            <w:tcW w:w="0" w:type="auto"/>
            <w:tcBorders>
              <w:top w:val="single" w:sz="6" w:space="0" w:color="DEE2E6"/>
            </w:tcBorders>
            <w:shd w:val="clear" w:color="auto" w:fill="FFFFFF"/>
            <w:tcMar>
              <w:top w:w="60" w:type="dxa"/>
              <w:left w:w="60" w:type="dxa"/>
              <w:bottom w:w="60" w:type="dxa"/>
              <w:right w:w="60" w:type="dxa"/>
            </w:tcMar>
            <w:hideMark/>
          </w:tcPr>
          <w:p w14:paraId="5E905466"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$1,040,074</w:t>
            </w:r>
          </w:p>
        </w:tc>
        <w:tc>
          <w:tcPr>
            <w:tcW w:w="0" w:type="auto"/>
            <w:tcBorders>
              <w:top w:val="single" w:sz="6" w:space="0" w:color="DEE2E6"/>
            </w:tcBorders>
            <w:shd w:val="clear" w:color="auto" w:fill="FFFFFF"/>
            <w:tcMar>
              <w:top w:w="60" w:type="dxa"/>
              <w:left w:w="60" w:type="dxa"/>
              <w:bottom w:w="60" w:type="dxa"/>
              <w:right w:w="60" w:type="dxa"/>
            </w:tcMar>
            <w:hideMark/>
          </w:tcPr>
          <w:p w14:paraId="6202BEF2"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$2,521,772</w:t>
            </w:r>
          </w:p>
        </w:tc>
        <w:tc>
          <w:tcPr>
            <w:tcW w:w="0" w:type="auto"/>
            <w:tcBorders>
              <w:top w:val="single" w:sz="6" w:space="0" w:color="DEE2E6"/>
            </w:tcBorders>
            <w:shd w:val="clear" w:color="auto" w:fill="FFFFFF"/>
            <w:tcMar>
              <w:top w:w="60" w:type="dxa"/>
              <w:left w:w="60" w:type="dxa"/>
              <w:bottom w:w="60" w:type="dxa"/>
              <w:right w:w="60" w:type="dxa"/>
            </w:tcMar>
            <w:hideMark/>
          </w:tcPr>
          <w:p w14:paraId="1E64275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$3,079,133</w:t>
            </w:r>
          </w:p>
        </w:tc>
      </w:tr>
      <w:tr w:rsidR="00F26CF6" w:rsidRPr="000F378E" w14:paraId="324159F1"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00CF729"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Interest Expense</w:t>
            </w:r>
          </w:p>
        </w:tc>
        <w:tc>
          <w:tcPr>
            <w:tcW w:w="0" w:type="auto"/>
            <w:tcBorders>
              <w:top w:val="single" w:sz="6" w:space="0" w:color="DEE2E6"/>
            </w:tcBorders>
            <w:shd w:val="clear" w:color="auto" w:fill="FFFFFF"/>
            <w:tcMar>
              <w:top w:w="60" w:type="dxa"/>
              <w:left w:w="60" w:type="dxa"/>
              <w:bottom w:w="60" w:type="dxa"/>
              <w:right w:w="60" w:type="dxa"/>
            </w:tcMar>
            <w:hideMark/>
          </w:tcPr>
          <w:p w14:paraId="4C72C01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$304,500</w:t>
            </w:r>
          </w:p>
        </w:tc>
        <w:tc>
          <w:tcPr>
            <w:tcW w:w="0" w:type="auto"/>
            <w:tcBorders>
              <w:top w:val="single" w:sz="6" w:space="0" w:color="DEE2E6"/>
            </w:tcBorders>
            <w:shd w:val="clear" w:color="auto" w:fill="FFFFFF"/>
            <w:tcMar>
              <w:top w:w="60" w:type="dxa"/>
              <w:left w:w="60" w:type="dxa"/>
              <w:bottom w:w="60" w:type="dxa"/>
              <w:right w:w="60" w:type="dxa"/>
            </w:tcMar>
            <w:hideMark/>
          </w:tcPr>
          <w:p w14:paraId="69409EFA"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$224,000</w:t>
            </w:r>
          </w:p>
        </w:tc>
        <w:tc>
          <w:tcPr>
            <w:tcW w:w="0" w:type="auto"/>
            <w:tcBorders>
              <w:top w:val="single" w:sz="6" w:space="0" w:color="DEE2E6"/>
            </w:tcBorders>
            <w:shd w:val="clear" w:color="auto" w:fill="FFFFFF"/>
            <w:tcMar>
              <w:top w:w="60" w:type="dxa"/>
              <w:left w:w="60" w:type="dxa"/>
              <w:bottom w:w="60" w:type="dxa"/>
              <w:right w:w="60" w:type="dxa"/>
            </w:tcMar>
            <w:hideMark/>
          </w:tcPr>
          <w:p w14:paraId="6F1FCE7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$140,000</w:t>
            </w:r>
          </w:p>
        </w:tc>
      </w:tr>
      <w:tr w:rsidR="00F26CF6" w:rsidRPr="000F378E" w14:paraId="3FE8DFDE"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102445CD"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Taxes Incurred</w:t>
            </w:r>
          </w:p>
        </w:tc>
        <w:tc>
          <w:tcPr>
            <w:tcW w:w="0" w:type="auto"/>
            <w:tcBorders>
              <w:top w:val="single" w:sz="6" w:space="0" w:color="DEE2E6"/>
            </w:tcBorders>
            <w:shd w:val="clear" w:color="auto" w:fill="FFFFFF"/>
            <w:tcMar>
              <w:top w:w="60" w:type="dxa"/>
              <w:left w:w="60" w:type="dxa"/>
              <w:bottom w:w="60" w:type="dxa"/>
              <w:right w:w="60" w:type="dxa"/>
            </w:tcMar>
            <w:hideMark/>
          </w:tcPr>
          <w:p w14:paraId="5A96756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$216,352</w:t>
            </w:r>
          </w:p>
        </w:tc>
        <w:tc>
          <w:tcPr>
            <w:tcW w:w="0" w:type="auto"/>
            <w:tcBorders>
              <w:top w:val="single" w:sz="6" w:space="0" w:color="DEE2E6"/>
            </w:tcBorders>
            <w:shd w:val="clear" w:color="auto" w:fill="FFFFFF"/>
            <w:tcMar>
              <w:top w:w="60" w:type="dxa"/>
              <w:left w:w="60" w:type="dxa"/>
              <w:bottom w:w="60" w:type="dxa"/>
              <w:right w:w="60" w:type="dxa"/>
            </w:tcMar>
            <w:hideMark/>
          </w:tcPr>
          <w:p w14:paraId="5921F503"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$685,012</w:t>
            </w:r>
          </w:p>
        </w:tc>
        <w:tc>
          <w:tcPr>
            <w:tcW w:w="0" w:type="auto"/>
            <w:tcBorders>
              <w:top w:val="single" w:sz="6" w:space="0" w:color="DEE2E6"/>
            </w:tcBorders>
            <w:shd w:val="clear" w:color="auto" w:fill="FFFFFF"/>
            <w:tcMar>
              <w:top w:w="60" w:type="dxa"/>
              <w:left w:w="60" w:type="dxa"/>
              <w:bottom w:w="60" w:type="dxa"/>
              <w:right w:w="60" w:type="dxa"/>
            </w:tcMar>
            <w:hideMark/>
          </w:tcPr>
          <w:p w14:paraId="06C147B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$877,420</w:t>
            </w:r>
          </w:p>
        </w:tc>
      </w:tr>
      <w:tr w:rsidR="00F26CF6" w:rsidRPr="000F378E" w14:paraId="20F0B7AC"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63E11DD0"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E41B06B"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4919DC60"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c>
          <w:tcPr>
            <w:tcW w:w="0" w:type="auto"/>
            <w:tcBorders>
              <w:top w:val="single" w:sz="6" w:space="0" w:color="DEE2E6"/>
            </w:tcBorders>
            <w:shd w:val="clear" w:color="auto" w:fill="FFFFFF"/>
            <w:tcMar>
              <w:top w:w="60" w:type="dxa"/>
              <w:left w:w="60" w:type="dxa"/>
              <w:bottom w:w="60" w:type="dxa"/>
              <w:right w:w="60" w:type="dxa"/>
            </w:tcMar>
            <w:hideMark/>
          </w:tcPr>
          <w:p w14:paraId="0028311C"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p>
        </w:tc>
      </w:tr>
      <w:tr w:rsidR="00F26CF6" w:rsidRPr="000F378E" w14:paraId="1E36EA80"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4DC2F350"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Net Profit</w:t>
            </w:r>
          </w:p>
        </w:tc>
        <w:tc>
          <w:tcPr>
            <w:tcW w:w="0" w:type="auto"/>
            <w:tcBorders>
              <w:top w:val="single" w:sz="6" w:space="0" w:color="DEE2E6"/>
            </w:tcBorders>
            <w:shd w:val="clear" w:color="auto" w:fill="FFFFFF"/>
            <w:tcMar>
              <w:top w:w="60" w:type="dxa"/>
              <w:left w:w="60" w:type="dxa"/>
              <w:bottom w:w="60" w:type="dxa"/>
              <w:right w:w="60" w:type="dxa"/>
            </w:tcMar>
            <w:hideMark/>
          </w:tcPr>
          <w:p w14:paraId="4AFD2445"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$504,822</w:t>
            </w:r>
          </w:p>
        </w:tc>
        <w:tc>
          <w:tcPr>
            <w:tcW w:w="0" w:type="auto"/>
            <w:tcBorders>
              <w:top w:val="single" w:sz="6" w:space="0" w:color="DEE2E6"/>
            </w:tcBorders>
            <w:shd w:val="clear" w:color="auto" w:fill="FFFFFF"/>
            <w:tcMar>
              <w:top w:w="60" w:type="dxa"/>
              <w:left w:w="60" w:type="dxa"/>
              <w:bottom w:w="60" w:type="dxa"/>
              <w:right w:w="60" w:type="dxa"/>
            </w:tcMar>
            <w:hideMark/>
          </w:tcPr>
          <w:p w14:paraId="6C654D98"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$1,598,361</w:t>
            </w:r>
          </w:p>
        </w:tc>
        <w:tc>
          <w:tcPr>
            <w:tcW w:w="0" w:type="auto"/>
            <w:tcBorders>
              <w:top w:val="single" w:sz="6" w:space="0" w:color="DEE2E6"/>
            </w:tcBorders>
            <w:shd w:val="clear" w:color="auto" w:fill="FFFFFF"/>
            <w:tcMar>
              <w:top w:w="60" w:type="dxa"/>
              <w:left w:w="60" w:type="dxa"/>
              <w:bottom w:w="60" w:type="dxa"/>
              <w:right w:w="60" w:type="dxa"/>
            </w:tcMar>
            <w:hideMark/>
          </w:tcPr>
          <w:p w14:paraId="055EBAF5" w14:textId="77777777" w:rsidR="00F26CF6" w:rsidRPr="000F378E" w:rsidRDefault="00F26CF6" w:rsidP="000F378E">
            <w:pPr>
              <w:spacing w:before="60" w:after="450" w:line="360" w:lineRule="auto"/>
              <w:jc w:val="both"/>
              <w:rPr>
                <w:rFonts w:ascii="Times New Roman" w:eastAsia="Times New Roman" w:hAnsi="Times New Roman" w:cs="Times New Roman"/>
                <w:b/>
                <w:bCs/>
                <w:color w:val="000000" w:themeColor="text1"/>
              </w:rPr>
            </w:pPr>
            <w:r w:rsidRPr="000F378E">
              <w:rPr>
                <w:rFonts w:ascii="Times New Roman" w:eastAsia="Times New Roman" w:hAnsi="Times New Roman" w:cs="Times New Roman"/>
                <w:b/>
                <w:bCs/>
                <w:color w:val="000000" w:themeColor="text1"/>
              </w:rPr>
              <w:t>$2,047,313</w:t>
            </w:r>
          </w:p>
        </w:tc>
      </w:tr>
      <w:tr w:rsidR="00F26CF6" w:rsidRPr="000F378E" w14:paraId="2E694D55" w14:textId="77777777" w:rsidTr="00F26CF6">
        <w:tc>
          <w:tcPr>
            <w:tcW w:w="0" w:type="auto"/>
            <w:tcBorders>
              <w:top w:val="single" w:sz="6" w:space="0" w:color="DEE2E6"/>
            </w:tcBorders>
            <w:shd w:val="clear" w:color="auto" w:fill="FFFFFF"/>
            <w:tcMar>
              <w:top w:w="60" w:type="dxa"/>
              <w:left w:w="60" w:type="dxa"/>
              <w:bottom w:w="60" w:type="dxa"/>
              <w:right w:w="60" w:type="dxa"/>
            </w:tcMar>
            <w:hideMark/>
          </w:tcPr>
          <w:p w14:paraId="3BCEEB65"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Net Profit/Sales</w:t>
            </w:r>
          </w:p>
        </w:tc>
        <w:tc>
          <w:tcPr>
            <w:tcW w:w="0" w:type="auto"/>
            <w:tcBorders>
              <w:top w:val="single" w:sz="6" w:space="0" w:color="DEE2E6"/>
            </w:tcBorders>
            <w:shd w:val="clear" w:color="auto" w:fill="FFFFFF"/>
            <w:tcMar>
              <w:top w:w="60" w:type="dxa"/>
              <w:left w:w="60" w:type="dxa"/>
              <w:bottom w:w="60" w:type="dxa"/>
              <w:right w:w="60" w:type="dxa"/>
            </w:tcMar>
            <w:hideMark/>
          </w:tcPr>
          <w:p w14:paraId="0C2952B1"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5.00%</w:t>
            </w:r>
          </w:p>
        </w:tc>
        <w:tc>
          <w:tcPr>
            <w:tcW w:w="0" w:type="auto"/>
            <w:tcBorders>
              <w:top w:val="single" w:sz="6" w:space="0" w:color="DEE2E6"/>
            </w:tcBorders>
            <w:shd w:val="clear" w:color="auto" w:fill="FFFFFF"/>
            <w:tcMar>
              <w:top w:w="60" w:type="dxa"/>
              <w:left w:w="60" w:type="dxa"/>
              <w:bottom w:w="60" w:type="dxa"/>
              <w:right w:w="60" w:type="dxa"/>
            </w:tcMar>
            <w:hideMark/>
          </w:tcPr>
          <w:p w14:paraId="28561157"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13.20%</w:t>
            </w:r>
          </w:p>
        </w:tc>
        <w:tc>
          <w:tcPr>
            <w:tcW w:w="0" w:type="auto"/>
            <w:tcBorders>
              <w:top w:val="single" w:sz="6" w:space="0" w:color="DEE2E6"/>
            </w:tcBorders>
            <w:shd w:val="clear" w:color="auto" w:fill="FFFFFF"/>
            <w:tcMar>
              <w:top w:w="60" w:type="dxa"/>
              <w:left w:w="60" w:type="dxa"/>
              <w:bottom w:w="60" w:type="dxa"/>
              <w:right w:w="60" w:type="dxa"/>
            </w:tcMar>
            <w:hideMark/>
          </w:tcPr>
          <w:p w14:paraId="08E4038F" w14:textId="77777777" w:rsidR="00F26CF6" w:rsidRPr="000F378E" w:rsidRDefault="00F26CF6" w:rsidP="000F378E">
            <w:pPr>
              <w:spacing w:before="60" w:after="450" w:line="360" w:lineRule="auto"/>
              <w:jc w:val="both"/>
              <w:rPr>
                <w:rFonts w:ascii="Times New Roman" w:eastAsia="Times New Roman" w:hAnsi="Times New Roman" w:cs="Times New Roman"/>
                <w:color w:val="000000" w:themeColor="text1"/>
              </w:rPr>
            </w:pPr>
            <w:r w:rsidRPr="000F378E">
              <w:rPr>
                <w:rFonts w:ascii="Times New Roman" w:eastAsia="Times New Roman" w:hAnsi="Times New Roman" w:cs="Times New Roman"/>
                <w:color w:val="000000" w:themeColor="text1"/>
              </w:rPr>
              <w:t>14.09%</w:t>
            </w:r>
          </w:p>
        </w:tc>
      </w:tr>
    </w:tbl>
    <w:p w14:paraId="0CF39FA0" w14:textId="494B77A3" w:rsidR="00F26CF6" w:rsidRPr="000F378E" w:rsidRDefault="00F26CF6" w:rsidP="000F378E">
      <w:pPr>
        <w:pStyle w:val="ListParagraph"/>
        <w:numPr>
          <w:ilvl w:val="1"/>
          <w:numId w:val="2"/>
        </w:numPr>
        <w:spacing w:line="360" w:lineRule="auto"/>
        <w:jc w:val="both"/>
        <w:rPr>
          <w:rFonts w:ascii="Times New Roman" w:hAnsi="Times New Roman" w:cs="Times New Roman"/>
          <w:b/>
          <w:bCs/>
          <w:color w:val="000000" w:themeColor="text1"/>
          <w:u w:val="single"/>
          <w:shd w:val="clear" w:color="auto" w:fill="FFFFFF"/>
        </w:rPr>
      </w:pPr>
      <w:r w:rsidRPr="000F378E">
        <w:rPr>
          <w:rFonts w:ascii="Times New Roman" w:hAnsi="Times New Roman" w:cs="Times New Roman"/>
          <w:b/>
          <w:bCs/>
          <w:color w:val="000000" w:themeColor="text1"/>
          <w:shd w:val="clear" w:color="auto" w:fill="FFFFFF"/>
        </w:rPr>
        <w:t>Logistics Planning</w:t>
      </w:r>
    </w:p>
    <w:p w14:paraId="6F397E61" w14:textId="351B5F0F" w:rsidR="00F26CF6" w:rsidRPr="000F378E" w:rsidRDefault="001B4F82" w:rsidP="000F378E">
      <w:pPr>
        <w:spacing w:line="360" w:lineRule="auto"/>
        <w:jc w:val="both"/>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The Chinese government has implemented a new logistics system in 2020 based on the 8% growth across the automotive sector accounting for a total GDP of 7.5% on the country’s economy</w:t>
      </w:r>
      <w:r w:rsidR="006F3B51" w:rsidRPr="000F378E">
        <w:rPr>
          <w:rFonts w:ascii="Times New Roman" w:hAnsi="Times New Roman" w:cs="Times New Roman"/>
          <w:color w:val="000000" w:themeColor="text1"/>
          <w:shd w:val="clear" w:color="auto" w:fill="FFFFFF"/>
        </w:rPr>
        <w:t xml:space="preserve"> (</w:t>
      </w:r>
      <w:r w:rsidR="006F3B51" w:rsidRPr="000F378E">
        <w:rPr>
          <w:rFonts w:ascii="Times New Roman" w:hAnsi="Times New Roman" w:cs="Times New Roman"/>
          <w:color w:val="000000" w:themeColor="text1"/>
          <w:shd w:val="clear" w:color="auto" w:fill="FFFFFF"/>
        </w:rPr>
        <w:t>MarketFinder,</w:t>
      </w:r>
      <w:r w:rsidR="006F3B51" w:rsidRPr="000F378E">
        <w:rPr>
          <w:rFonts w:ascii="Times New Roman" w:hAnsi="Times New Roman" w:cs="Times New Roman"/>
          <w:color w:val="000000" w:themeColor="text1"/>
          <w:shd w:val="clear" w:color="auto" w:fill="FFFFFF"/>
        </w:rPr>
        <w:t xml:space="preserve"> </w:t>
      </w:r>
      <w:r w:rsidR="006F3B51" w:rsidRPr="000F378E">
        <w:rPr>
          <w:rFonts w:ascii="Times New Roman" w:hAnsi="Times New Roman" w:cs="Times New Roman"/>
          <w:color w:val="000000" w:themeColor="text1"/>
          <w:shd w:val="clear" w:color="auto" w:fill="FFFFFF"/>
        </w:rPr>
        <w:t xml:space="preserve">2020). </w:t>
      </w:r>
      <w:r w:rsidRPr="000F378E">
        <w:rPr>
          <w:rFonts w:ascii="Times New Roman" w:hAnsi="Times New Roman" w:cs="Times New Roman"/>
          <w:color w:val="000000" w:themeColor="text1"/>
          <w:shd w:val="clear" w:color="auto" w:fill="FFFFFF"/>
        </w:rPr>
        <w:t xml:space="preserve"> Concomitantly, the state decided that the cost of logistics will be minimized by 16% of the GDP. Such reduction is comparable to the government’s quoted data as per the China Federation of Logistics &amp; Purchasing (CFLP) showing that with an average yearly increase of over 20% across the previous decade, the growth of logistics had been declining along with the other economy. During the first quarter, the collective goods value expanded by 8.6% from one year to the other</w:t>
      </w:r>
      <w:r w:rsidR="006F3B51" w:rsidRPr="000F378E">
        <w:rPr>
          <w:rFonts w:ascii="Times New Roman" w:hAnsi="Times New Roman" w:cs="Times New Roman"/>
          <w:color w:val="000000" w:themeColor="text1"/>
          <w:shd w:val="clear" w:color="auto" w:fill="FFFFFF"/>
        </w:rPr>
        <w:t xml:space="preserve"> </w:t>
      </w:r>
      <w:r w:rsidR="006F3B51" w:rsidRPr="000F378E">
        <w:rPr>
          <w:rFonts w:ascii="Times New Roman" w:hAnsi="Times New Roman" w:cs="Times New Roman"/>
          <w:color w:val="000000" w:themeColor="text1"/>
          <w:shd w:val="clear" w:color="auto" w:fill="FFFFFF"/>
        </w:rPr>
        <w:t>(MarketFinder, 2020).</w:t>
      </w:r>
      <w:r w:rsidR="006F3B51" w:rsidRPr="000F378E">
        <w:rPr>
          <w:rFonts w:ascii="Times New Roman" w:hAnsi="Times New Roman" w:cs="Times New Roman"/>
          <w:color w:val="000000" w:themeColor="text1"/>
          <w:shd w:val="clear" w:color="auto" w:fill="FFFFFF"/>
        </w:rPr>
        <w:t xml:space="preserve"> </w:t>
      </w:r>
      <w:r w:rsidRPr="000F378E">
        <w:rPr>
          <w:rFonts w:ascii="Times New Roman" w:hAnsi="Times New Roman" w:cs="Times New Roman"/>
          <w:color w:val="000000" w:themeColor="text1"/>
          <w:shd w:val="clear" w:color="auto" w:fill="FFFFFF"/>
        </w:rPr>
        <w:t xml:space="preserve"> Therefore, our logistics plan is currently focused on slower as well as a more sustainable expansion. With this in mind, we aim at achieving reduction of logistics costs by developing an open, competitive as well as an orderly national logistics market in line with the government’s regulations. As a result, we will be encouraging acquisitions and mergers alongside the other types of collaborations. Again, efforts </w:t>
      </w:r>
      <w:r w:rsidR="00B028D3" w:rsidRPr="000F378E">
        <w:rPr>
          <w:rFonts w:ascii="Times New Roman" w:hAnsi="Times New Roman" w:cs="Times New Roman"/>
          <w:color w:val="000000" w:themeColor="text1"/>
          <w:shd w:val="clear" w:color="auto" w:fill="FFFFFF"/>
        </w:rPr>
        <w:t xml:space="preserve">will be exerted towards strengthening the logistics infrastructure networks such as a comprehensive transport </w:t>
      </w:r>
      <w:r w:rsidR="006F3B51" w:rsidRPr="000F378E">
        <w:rPr>
          <w:rFonts w:ascii="Times New Roman" w:hAnsi="Times New Roman" w:cs="Times New Roman"/>
          <w:color w:val="000000" w:themeColor="text1"/>
          <w:shd w:val="clear" w:color="auto" w:fill="FFFFFF"/>
        </w:rPr>
        <w:t>corridor, greater</w:t>
      </w:r>
      <w:r w:rsidR="00B028D3" w:rsidRPr="000F378E">
        <w:rPr>
          <w:rFonts w:ascii="Times New Roman" w:hAnsi="Times New Roman" w:cs="Times New Roman"/>
          <w:color w:val="000000" w:themeColor="text1"/>
          <w:shd w:val="clear" w:color="auto" w:fill="FFFFFF"/>
        </w:rPr>
        <w:t xml:space="preserve"> transport hubs that support the multimodal options, and an integrated system of transport. </w:t>
      </w:r>
    </w:p>
    <w:p w14:paraId="489192D4"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78DEA2E5"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21B14AEC"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30781BA8" w14:textId="77777777" w:rsidR="000F378E" w:rsidRDefault="000F378E" w:rsidP="000F378E">
      <w:pPr>
        <w:spacing w:line="360" w:lineRule="auto"/>
        <w:rPr>
          <w:rFonts w:ascii="Times New Roman" w:hAnsi="Times New Roman" w:cs="Times New Roman"/>
          <w:b/>
          <w:bCs/>
          <w:color w:val="000000" w:themeColor="text1"/>
          <w:shd w:val="clear" w:color="auto" w:fill="FFFFFF"/>
        </w:rPr>
      </w:pPr>
    </w:p>
    <w:p w14:paraId="75251E98" w14:textId="299411B5" w:rsidR="006F3B51" w:rsidRPr="000F378E" w:rsidRDefault="006F3B51" w:rsidP="000F378E">
      <w:pPr>
        <w:spacing w:line="360" w:lineRule="auto"/>
        <w:jc w:val="center"/>
        <w:rPr>
          <w:rFonts w:ascii="Times New Roman" w:hAnsi="Times New Roman" w:cs="Times New Roman"/>
          <w:b/>
          <w:bCs/>
          <w:color w:val="000000" w:themeColor="text1"/>
          <w:shd w:val="clear" w:color="auto" w:fill="FFFFFF"/>
        </w:rPr>
      </w:pPr>
      <w:r w:rsidRPr="000F378E">
        <w:rPr>
          <w:rFonts w:ascii="Times New Roman" w:hAnsi="Times New Roman" w:cs="Times New Roman"/>
          <w:b/>
          <w:bCs/>
          <w:color w:val="000000" w:themeColor="text1"/>
          <w:shd w:val="clear" w:color="auto" w:fill="FFFFFF"/>
        </w:rPr>
        <w:lastRenderedPageBreak/>
        <w:t>References</w:t>
      </w:r>
    </w:p>
    <w:p w14:paraId="793E84C3" w14:textId="0A41AFB5" w:rsidR="00A421D4" w:rsidRPr="000F378E" w:rsidRDefault="00A421D4" w:rsidP="000F378E">
      <w:pPr>
        <w:spacing w:line="360" w:lineRule="auto"/>
        <w:ind w:left="720" w:hanging="720"/>
        <w:rPr>
          <w:rFonts w:ascii="Times New Roman" w:hAnsi="Times New Roman" w:cs="Times New Roman"/>
        </w:rPr>
      </w:pPr>
      <w:r w:rsidRPr="000F378E">
        <w:rPr>
          <w:rFonts w:ascii="Times New Roman" w:hAnsi="Times New Roman" w:cs="Times New Roman"/>
        </w:rPr>
        <w:t xml:space="preserve">Agosin, M.R., and R. Machado, </w:t>
      </w:r>
      <w:r w:rsidRPr="000F378E">
        <w:rPr>
          <w:rFonts w:ascii="Times New Roman" w:hAnsi="Times New Roman" w:cs="Times New Roman"/>
        </w:rPr>
        <w:t>(</w:t>
      </w:r>
      <w:r w:rsidRPr="000F378E">
        <w:rPr>
          <w:rFonts w:ascii="Times New Roman" w:hAnsi="Times New Roman" w:cs="Times New Roman"/>
        </w:rPr>
        <w:t>20</w:t>
      </w:r>
      <w:r w:rsidRPr="000F378E">
        <w:rPr>
          <w:rFonts w:ascii="Times New Roman" w:hAnsi="Times New Roman" w:cs="Times New Roman"/>
        </w:rPr>
        <w:t>1</w:t>
      </w:r>
      <w:r w:rsidRPr="000F378E">
        <w:rPr>
          <w:rFonts w:ascii="Times New Roman" w:hAnsi="Times New Roman" w:cs="Times New Roman"/>
        </w:rPr>
        <w:t>5</w:t>
      </w:r>
      <w:r w:rsidRPr="000F378E">
        <w:rPr>
          <w:rFonts w:ascii="Times New Roman" w:hAnsi="Times New Roman" w:cs="Times New Roman"/>
        </w:rPr>
        <w:t xml:space="preserve">). </w:t>
      </w:r>
      <w:r w:rsidRPr="000F378E">
        <w:rPr>
          <w:rFonts w:ascii="Times New Roman" w:hAnsi="Times New Roman" w:cs="Times New Roman"/>
        </w:rPr>
        <w:t xml:space="preserve"> Foreign investment in developing countries: Does it crowding in domestic investment, Oxford Development Studies 33(2), 149-162.</w:t>
      </w:r>
    </w:p>
    <w:p w14:paraId="6D12FE29" w14:textId="1D2C2CE5" w:rsidR="00A421D4" w:rsidRPr="000F378E" w:rsidRDefault="00A421D4" w:rsidP="000F378E">
      <w:pPr>
        <w:spacing w:line="360" w:lineRule="auto"/>
        <w:ind w:left="720" w:hanging="720"/>
        <w:rPr>
          <w:rFonts w:ascii="Times New Roman" w:hAnsi="Times New Roman" w:cs="Times New Roman"/>
        </w:rPr>
      </w:pPr>
      <w:r w:rsidRPr="000F378E">
        <w:rPr>
          <w:rFonts w:ascii="Times New Roman" w:hAnsi="Times New Roman" w:cs="Times New Roman"/>
        </w:rPr>
        <w:t xml:space="preserve">Ali, S., and w. Guo, </w:t>
      </w:r>
      <w:r w:rsidRPr="000F378E">
        <w:rPr>
          <w:rFonts w:ascii="Times New Roman" w:hAnsi="Times New Roman" w:cs="Times New Roman"/>
        </w:rPr>
        <w:t>(</w:t>
      </w:r>
      <w:r w:rsidRPr="000F378E">
        <w:rPr>
          <w:rFonts w:ascii="Times New Roman" w:hAnsi="Times New Roman" w:cs="Times New Roman"/>
        </w:rPr>
        <w:t>20</w:t>
      </w:r>
      <w:r w:rsidRPr="000F378E">
        <w:rPr>
          <w:rFonts w:ascii="Times New Roman" w:hAnsi="Times New Roman" w:cs="Times New Roman"/>
        </w:rPr>
        <w:t xml:space="preserve">16). </w:t>
      </w:r>
      <w:r w:rsidRPr="000F378E">
        <w:rPr>
          <w:rFonts w:ascii="Times New Roman" w:hAnsi="Times New Roman" w:cs="Times New Roman"/>
        </w:rPr>
        <w:t xml:space="preserve"> Determinants of FDI in China, Journal of Global Business and Technology 1(2), 21-33.</w:t>
      </w:r>
      <w:r w:rsidRPr="000F378E">
        <w:rPr>
          <w:rFonts w:ascii="Times New Roman" w:hAnsi="Times New Roman" w:cs="Times New Roman"/>
        </w:rPr>
        <w:t xml:space="preserve"> </w:t>
      </w:r>
    </w:p>
    <w:p w14:paraId="42C30BC2" w14:textId="78A4839C" w:rsidR="00A421D4" w:rsidRPr="000F378E" w:rsidRDefault="00A421D4" w:rsidP="000F378E">
      <w:pPr>
        <w:spacing w:line="360" w:lineRule="auto"/>
        <w:ind w:left="720" w:hanging="720"/>
        <w:rPr>
          <w:rFonts w:ascii="Times New Roman" w:hAnsi="Times New Roman" w:cs="Times New Roman"/>
        </w:rPr>
      </w:pPr>
      <w:r w:rsidRPr="000F378E">
        <w:rPr>
          <w:rFonts w:ascii="Times New Roman" w:hAnsi="Times New Roman" w:cs="Times New Roman"/>
        </w:rPr>
        <w:t xml:space="preserve">Bo, w., </w:t>
      </w:r>
      <w:r w:rsidRPr="000F378E">
        <w:rPr>
          <w:rFonts w:ascii="Times New Roman" w:hAnsi="Times New Roman" w:cs="Times New Roman"/>
        </w:rPr>
        <w:t>(</w:t>
      </w:r>
      <w:r w:rsidRPr="000F378E">
        <w:rPr>
          <w:rFonts w:ascii="Times New Roman" w:hAnsi="Times New Roman" w:cs="Times New Roman"/>
        </w:rPr>
        <w:t>20</w:t>
      </w:r>
      <w:r w:rsidRPr="000F378E">
        <w:rPr>
          <w:rFonts w:ascii="Times New Roman" w:hAnsi="Times New Roman" w:cs="Times New Roman"/>
        </w:rPr>
        <w:t xml:space="preserve">16). </w:t>
      </w:r>
      <w:r w:rsidRPr="000F378E">
        <w:rPr>
          <w:rFonts w:ascii="Times New Roman" w:hAnsi="Times New Roman" w:cs="Times New Roman"/>
        </w:rPr>
        <w:t>Does FDI crowding in or crowding out domestic investment in China - panel data empirical analysis, Caijingluncong (China) 2006.</w:t>
      </w:r>
    </w:p>
    <w:p w14:paraId="5A59EB82" w14:textId="24B01B25" w:rsidR="000F378E" w:rsidRPr="000F378E" w:rsidRDefault="000F378E" w:rsidP="000F378E">
      <w:pPr>
        <w:spacing w:line="360" w:lineRule="auto"/>
        <w:ind w:left="720" w:hanging="720"/>
        <w:rPr>
          <w:rFonts w:ascii="Times New Roman" w:hAnsi="Times New Roman" w:cs="Times New Roman"/>
          <w:b/>
          <w:bCs/>
          <w:color w:val="000000" w:themeColor="text1"/>
          <w:shd w:val="clear" w:color="auto" w:fill="FFFFFF"/>
        </w:rPr>
      </w:pPr>
      <w:r w:rsidRPr="000F378E">
        <w:rPr>
          <w:rFonts w:ascii="Times New Roman" w:hAnsi="Times New Roman" w:cs="Times New Roman"/>
        </w:rPr>
        <w:t xml:space="preserve">Buckley, P.J., and M.C. Casson, </w:t>
      </w:r>
      <w:r w:rsidRPr="000F378E">
        <w:rPr>
          <w:rFonts w:ascii="Times New Roman" w:hAnsi="Times New Roman" w:cs="Times New Roman"/>
        </w:rPr>
        <w:t>(200</w:t>
      </w:r>
      <w:r w:rsidRPr="000F378E">
        <w:rPr>
          <w:rFonts w:ascii="Times New Roman" w:hAnsi="Times New Roman" w:cs="Times New Roman"/>
        </w:rPr>
        <w:t>5</w:t>
      </w:r>
      <w:r w:rsidRPr="000F378E">
        <w:rPr>
          <w:rFonts w:ascii="Times New Roman" w:hAnsi="Times New Roman" w:cs="Times New Roman"/>
        </w:rPr>
        <w:t xml:space="preserve">). </w:t>
      </w:r>
      <w:r w:rsidRPr="000F378E">
        <w:rPr>
          <w:rFonts w:ascii="Times New Roman" w:hAnsi="Times New Roman" w:cs="Times New Roman"/>
        </w:rPr>
        <w:t>The economic theory of the multinational enterprise, (MacMillan Press Ltd, London)</w:t>
      </w:r>
    </w:p>
    <w:p w14:paraId="53142F14" w14:textId="32C8BD07" w:rsidR="006F3B51" w:rsidRPr="000F378E" w:rsidRDefault="006F3B51" w:rsidP="000F378E">
      <w:pPr>
        <w:spacing w:line="360" w:lineRule="auto"/>
        <w:ind w:left="720" w:hanging="720"/>
        <w:rPr>
          <w:rFonts w:ascii="Times New Roman" w:hAnsi="Times New Roman" w:cs="Times New Roman"/>
          <w:color w:val="000000" w:themeColor="text1"/>
          <w:shd w:val="clear" w:color="auto" w:fill="FFFFFF"/>
        </w:rPr>
      </w:pPr>
      <w:r w:rsidRPr="000F378E">
        <w:rPr>
          <w:rFonts w:ascii="Times New Roman" w:hAnsi="Times New Roman" w:cs="Times New Roman"/>
          <w:color w:val="000000" w:themeColor="text1"/>
          <w:shd w:val="clear" w:color="auto" w:fill="FFFFFF"/>
        </w:rPr>
        <w:t xml:space="preserve">MarketFinder, (2020). Planning your Logistics in China. Retrieved from: </w:t>
      </w:r>
      <w:hyperlink r:id="rId9" w:history="1">
        <w:r w:rsidRPr="000F378E">
          <w:rPr>
            <w:rStyle w:val="Hyperlink"/>
            <w:rFonts w:ascii="Times New Roman" w:hAnsi="Times New Roman" w:cs="Times New Roman"/>
            <w:shd w:val="clear" w:color="auto" w:fill="FFFFFF"/>
          </w:rPr>
          <w:t>https://marketfinder.thinkwithgoogle.com/intl/en/guide/ingram-china-guide/#market-overview</w:t>
        </w:r>
      </w:hyperlink>
      <w:r w:rsidRPr="000F378E">
        <w:rPr>
          <w:rFonts w:ascii="Times New Roman" w:hAnsi="Times New Roman" w:cs="Times New Roman"/>
          <w:color w:val="000000" w:themeColor="text1"/>
          <w:shd w:val="clear" w:color="auto" w:fill="FFFFFF"/>
        </w:rPr>
        <w:t xml:space="preserve"> </w:t>
      </w:r>
    </w:p>
    <w:p w14:paraId="065C33C2" w14:textId="40D99FEE" w:rsidR="009D0CEA" w:rsidRPr="000F378E" w:rsidRDefault="006F3B51" w:rsidP="000F378E">
      <w:pPr>
        <w:spacing w:line="360" w:lineRule="auto"/>
        <w:ind w:left="720" w:hanging="720"/>
        <w:rPr>
          <w:rFonts w:ascii="Times New Roman" w:hAnsi="Times New Roman" w:cs="Times New Roman"/>
          <w:color w:val="000000"/>
          <w:shd w:val="clear" w:color="auto" w:fill="FFFFFF"/>
        </w:rPr>
      </w:pPr>
      <w:r w:rsidRPr="000F378E">
        <w:rPr>
          <w:rFonts w:ascii="Times New Roman" w:hAnsi="Times New Roman" w:cs="Times New Roman"/>
          <w:color w:val="000000"/>
          <w:shd w:val="clear" w:color="auto" w:fill="FFFFFF"/>
        </w:rPr>
        <w:t>WORLD, B. A. N. K. G. R. O. U. P. (2020). </w:t>
      </w:r>
      <w:r w:rsidRPr="000F378E">
        <w:rPr>
          <w:rFonts w:ascii="Times New Roman" w:hAnsi="Times New Roman" w:cs="Times New Roman"/>
          <w:i/>
          <w:iCs/>
          <w:color w:val="000000"/>
          <w:shd w:val="clear" w:color="auto" w:fill="FFFFFF"/>
        </w:rPr>
        <w:t>Global investment competitiveness report 2019/2020</w:t>
      </w:r>
      <w:r w:rsidRPr="000F378E">
        <w:rPr>
          <w:rFonts w:ascii="Times New Roman" w:hAnsi="Times New Roman" w:cs="Times New Roman"/>
          <w:color w:val="000000"/>
          <w:shd w:val="clear" w:color="auto" w:fill="FFFFFF"/>
        </w:rPr>
        <w:t>. Place of publication not identified: WORLD BANK.</w:t>
      </w:r>
      <w:r w:rsidRPr="000F378E">
        <w:rPr>
          <w:rFonts w:ascii="Times New Roman" w:hAnsi="Times New Roman" w:cs="Times New Roman"/>
          <w:color w:val="000000"/>
          <w:shd w:val="clear" w:color="auto" w:fill="FFFFFF"/>
        </w:rPr>
        <w:t xml:space="preserve"> </w:t>
      </w:r>
    </w:p>
    <w:p w14:paraId="77D93637" w14:textId="77777777" w:rsidR="006F3B51" w:rsidRPr="000F378E" w:rsidRDefault="006F3B51" w:rsidP="000F378E">
      <w:pPr>
        <w:spacing w:line="360" w:lineRule="auto"/>
        <w:rPr>
          <w:rFonts w:ascii="Times New Roman" w:hAnsi="Times New Roman" w:cs="Times New Roman"/>
          <w:b/>
          <w:bCs/>
          <w:color w:val="000000" w:themeColor="text1"/>
        </w:rPr>
      </w:pPr>
    </w:p>
    <w:sectPr w:rsidR="006F3B51" w:rsidRPr="000F378E" w:rsidSect="000F378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2D718" w14:textId="77777777" w:rsidR="00F25E98" w:rsidRDefault="00F25E98" w:rsidP="000F378E">
      <w:pPr>
        <w:spacing w:after="0" w:line="240" w:lineRule="auto"/>
      </w:pPr>
      <w:r>
        <w:separator/>
      </w:r>
    </w:p>
  </w:endnote>
  <w:endnote w:type="continuationSeparator" w:id="0">
    <w:p w14:paraId="123A98C1" w14:textId="77777777" w:rsidR="00F25E98" w:rsidRDefault="00F25E98" w:rsidP="000F3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5C4182" w14:textId="77777777" w:rsidR="00F25E98" w:rsidRDefault="00F25E98" w:rsidP="000F378E">
      <w:pPr>
        <w:spacing w:after="0" w:line="240" w:lineRule="auto"/>
      </w:pPr>
      <w:r>
        <w:separator/>
      </w:r>
    </w:p>
  </w:footnote>
  <w:footnote w:type="continuationSeparator" w:id="0">
    <w:p w14:paraId="431FCD98" w14:textId="77777777" w:rsidR="00F25E98" w:rsidRDefault="00F25E98" w:rsidP="000F3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1EF47" w14:textId="50E616C7" w:rsidR="000F378E" w:rsidRPr="000F378E" w:rsidRDefault="000F378E">
    <w:pPr>
      <w:pStyle w:val="Header"/>
      <w:jc w:val="right"/>
      <w:rPr>
        <w:rFonts w:ascii="Times New Roman" w:hAnsi="Times New Roman" w:cs="Times New Roman"/>
      </w:rPr>
    </w:pPr>
    <w:r w:rsidRPr="000F378E">
      <w:rPr>
        <w:rFonts w:ascii="Times New Roman" w:hAnsi="Times New Roman" w:cs="Times New Roman"/>
      </w:rPr>
      <w:t>International Transactions Research</w:t>
    </w:r>
    <w:r w:rsidRPr="000F378E">
      <w:rPr>
        <w:rFonts w:ascii="Times New Roman" w:hAnsi="Times New Roman" w:cs="Times New Roman"/>
      </w:rPr>
      <w:tab/>
    </w:r>
    <w:r w:rsidRPr="000F378E">
      <w:rPr>
        <w:rFonts w:ascii="Times New Roman" w:hAnsi="Times New Roman" w:cs="Times New Roman"/>
      </w:rPr>
      <w:tab/>
    </w:r>
    <w:sdt>
      <w:sdtPr>
        <w:rPr>
          <w:rFonts w:ascii="Times New Roman" w:hAnsi="Times New Roman" w:cs="Times New Roman"/>
        </w:rPr>
        <w:id w:val="-1398588985"/>
        <w:docPartObj>
          <w:docPartGallery w:val="Page Numbers (Top of Page)"/>
          <w:docPartUnique/>
        </w:docPartObj>
      </w:sdtPr>
      <w:sdtEndPr>
        <w:rPr>
          <w:noProof/>
        </w:rPr>
      </w:sdtEndPr>
      <w:sdtContent>
        <w:r w:rsidRPr="000F378E">
          <w:rPr>
            <w:rFonts w:ascii="Times New Roman" w:hAnsi="Times New Roman" w:cs="Times New Roman"/>
          </w:rPr>
          <w:fldChar w:fldCharType="begin"/>
        </w:r>
        <w:r w:rsidRPr="000F378E">
          <w:rPr>
            <w:rFonts w:ascii="Times New Roman" w:hAnsi="Times New Roman" w:cs="Times New Roman"/>
          </w:rPr>
          <w:instrText xml:space="preserve"> PAGE   \* MERGEFORMAT </w:instrText>
        </w:r>
        <w:r w:rsidRPr="000F378E">
          <w:rPr>
            <w:rFonts w:ascii="Times New Roman" w:hAnsi="Times New Roman" w:cs="Times New Roman"/>
          </w:rPr>
          <w:fldChar w:fldCharType="separate"/>
        </w:r>
        <w:r w:rsidRPr="000F378E">
          <w:rPr>
            <w:rFonts w:ascii="Times New Roman" w:hAnsi="Times New Roman" w:cs="Times New Roman"/>
            <w:noProof/>
          </w:rPr>
          <w:t>2</w:t>
        </w:r>
        <w:r w:rsidRPr="000F378E">
          <w:rPr>
            <w:rFonts w:ascii="Times New Roman" w:hAnsi="Times New Roman" w:cs="Times New Roman"/>
            <w:noProof/>
          </w:rPr>
          <w:fldChar w:fldCharType="end"/>
        </w:r>
      </w:sdtContent>
    </w:sdt>
  </w:p>
  <w:p w14:paraId="2E8EE541" w14:textId="77777777" w:rsidR="000F378E" w:rsidRDefault="000F37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E7E44" w14:textId="46ACA85C" w:rsidR="000F378E" w:rsidRPr="000F378E" w:rsidRDefault="000F378E">
    <w:pPr>
      <w:pStyle w:val="Header"/>
      <w:rPr>
        <w:rFonts w:ascii="Times New Roman" w:hAnsi="Times New Roman" w:cs="Times New Roman"/>
      </w:rPr>
    </w:pPr>
    <w:r w:rsidRPr="000F378E">
      <w:rPr>
        <w:rFonts w:ascii="Times New Roman" w:hAnsi="Times New Roman" w:cs="Times New Roman"/>
      </w:rPr>
      <w:t>Running head: International Transactions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F30C2F"/>
    <w:multiLevelType w:val="hybridMultilevel"/>
    <w:tmpl w:val="12DE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98537C"/>
    <w:multiLevelType w:val="multilevel"/>
    <w:tmpl w:val="FDA44074"/>
    <w:lvl w:ilvl="0">
      <w:start w:val="1"/>
      <w:numFmt w:val="decimal"/>
      <w:lvlText w:val="%1."/>
      <w:lvlJc w:val="left"/>
      <w:pPr>
        <w:ind w:left="720" w:hanging="360"/>
      </w:pPr>
      <w:rPr>
        <w:rFonts w:hint="default"/>
        <w:color w:val="1B1B1B"/>
      </w:rPr>
    </w:lvl>
    <w:lvl w:ilvl="1">
      <w:start w:val="1"/>
      <w:numFmt w:val="decimal"/>
      <w:isLgl/>
      <w:lvlText w:val="%1.%2."/>
      <w:lvlJc w:val="left"/>
      <w:pPr>
        <w:ind w:left="720" w:hanging="360"/>
      </w:pPr>
      <w:rPr>
        <w:rFonts w:hint="default"/>
        <w:color w:val="333333"/>
      </w:rPr>
    </w:lvl>
    <w:lvl w:ilvl="2">
      <w:start w:val="1"/>
      <w:numFmt w:val="decimal"/>
      <w:isLgl/>
      <w:lvlText w:val="%1.%2.%3."/>
      <w:lvlJc w:val="left"/>
      <w:pPr>
        <w:ind w:left="1080" w:hanging="720"/>
      </w:pPr>
      <w:rPr>
        <w:rFonts w:hint="default"/>
        <w:color w:val="333333"/>
      </w:rPr>
    </w:lvl>
    <w:lvl w:ilvl="3">
      <w:start w:val="1"/>
      <w:numFmt w:val="decimal"/>
      <w:isLgl/>
      <w:lvlText w:val="%1.%2.%3.%4."/>
      <w:lvlJc w:val="left"/>
      <w:pPr>
        <w:ind w:left="1080" w:hanging="720"/>
      </w:pPr>
      <w:rPr>
        <w:rFonts w:hint="default"/>
        <w:color w:val="333333"/>
      </w:rPr>
    </w:lvl>
    <w:lvl w:ilvl="4">
      <w:start w:val="1"/>
      <w:numFmt w:val="decimal"/>
      <w:isLgl/>
      <w:lvlText w:val="%1.%2.%3.%4.%5."/>
      <w:lvlJc w:val="left"/>
      <w:pPr>
        <w:ind w:left="1440" w:hanging="1080"/>
      </w:pPr>
      <w:rPr>
        <w:rFonts w:hint="default"/>
        <w:color w:val="333333"/>
      </w:rPr>
    </w:lvl>
    <w:lvl w:ilvl="5">
      <w:start w:val="1"/>
      <w:numFmt w:val="decimal"/>
      <w:isLgl/>
      <w:lvlText w:val="%1.%2.%3.%4.%5.%6."/>
      <w:lvlJc w:val="left"/>
      <w:pPr>
        <w:ind w:left="1440" w:hanging="1080"/>
      </w:pPr>
      <w:rPr>
        <w:rFonts w:hint="default"/>
        <w:color w:val="333333"/>
      </w:rPr>
    </w:lvl>
    <w:lvl w:ilvl="6">
      <w:start w:val="1"/>
      <w:numFmt w:val="decimal"/>
      <w:isLgl/>
      <w:lvlText w:val="%1.%2.%3.%4.%5.%6.%7."/>
      <w:lvlJc w:val="left"/>
      <w:pPr>
        <w:ind w:left="1800" w:hanging="1440"/>
      </w:pPr>
      <w:rPr>
        <w:rFonts w:hint="default"/>
        <w:color w:val="333333"/>
      </w:rPr>
    </w:lvl>
    <w:lvl w:ilvl="7">
      <w:start w:val="1"/>
      <w:numFmt w:val="decimal"/>
      <w:isLgl/>
      <w:lvlText w:val="%1.%2.%3.%4.%5.%6.%7.%8."/>
      <w:lvlJc w:val="left"/>
      <w:pPr>
        <w:ind w:left="1800" w:hanging="1440"/>
      </w:pPr>
      <w:rPr>
        <w:rFonts w:hint="default"/>
        <w:color w:val="333333"/>
      </w:rPr>
    </w:lvl>
    <w:lvl w:ilvl="8">
      <w:start w:val="1"/>
      <w:numFmt w:val="decimal"/>
      <w:isLgl/>
      <w:lvlText w:val="%1.%2.%3.%4.%5.%6.%7.%8.%9."/>
      <w:lvlJc w:val="left"/>
      <w:pPr>
        <w:ind w:left="2160" w:hanging="1800"/>
      </w:pPr>
      <w:rPr>
        <w:rFonts w:hint="default"/>
        <w:color w:val="333333"/>
      </w:rPr>
    </w:lvl>
  </w:abstractNum>
  <w:abstractNum w:abstractNumId="2" w15:restartNumberingAfterBreak="0">
    <w:nsid w:val="3E795660"/>
    <w:multiLevelType w:val="hybridMultilevel"/>
    <w:tmpl w:val="54DE3622"/>
    <w:lvl w:ilvl="0" w:tplc="7ED8C880">
      <w:start w:val="1"/>
      <w:numFmt w:val="lowerRoman"/>
      <w:lvlText w:val="%1."/>
      <w:lvlJc w:val="left"/>
      <w:pPr>
        <w:ind w:left="1080" w:hanging="720"/>
      </w:pPr>
      <w:rPr>
        <w:rFonts w:hint="default"/>
        <w:color w:val="1B1B1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630DCF"/>
    <w:multiLevelType w:val="hybridMultilevel"/>
    <w:tmpl w:val="F3686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50"/>
    <w:rsid w:val="00015BD0"/>
    <w:rsid w:val="00016772"/>
    <w:rsid w:val="000B64A8"/>
    <w:rsid w:val="000F378E"/>
    <w:rsid w:val="00171B3F"/>
    <w:rsid w:val="0019431C"/>
    <w:rsid w:val="001B4F82"/>
    <w:rsid w:val="0024238A"/>
    <w:rsid w:val="002A4D0B"/>
    <w:rsid w:val="00301F0B"/>
    <w:rsid w:val="005411EE"/>
    <w:rsid w:val="006B4231"/>
    <w:rsid w:val="006F3B51"/>
    <w:rsid w:val="006F59EA"/>
    <w:rsid w:val="0076214E"/>
    <w:rsid w:val="00767C8A"/>
    <w:rsid w:val="00907A3C"/>
    <w:rsid w:val="009D0CEA"/>
    <w:rsid w:val="00A421D4"/>
    <w:rsid w:val="00AA64A5"/>
    <w:rsid w:val="00B028D3"/>
    <w:rsid w:val="00BB5A62"/>
    <w:rsid w:val="00C20CD8"/>
    <w:rsid w:val="00C510BA"/>
    <w:rsid w:val="00CA3AFC"/>
    <w:rsid w:val="00D31337"/>
    <w:rsid w:val="00D87D61"/>
    <w:rsid w:val="00E05368"/>
    <w:rsid w:val="00E11DDE"/>
    <w:rsid w:val="00E55622"/>
    <w:rsid w:val="00EC7F50"/>
    <w:rsid w:val="00F25E98"/>
    <w:rsid w:val="00F26CF6"/>
    <w:rsid w:val="00F35A7C"/>
    <w:rsid w:val="00F82A61"/>
    <w:rsid w:val="00FA5928"/>
    <w:rsid w:val="00FD0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787F8"/>
  <w15:chartTrackingRefBased/>
  <w15:docId w15:val="{1C18EF70-B3EB-4485-AD1F-54020D9F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F50"/>
    <w:pPr>
      <w:ind w:left="720"/>
      <w:contextualSpacing/>
    </w:pPr>
  </w:style>
  <w:style w:type="character" w:styleId="Hyperlink">
    <w:name w:val="Hyperlink"/>
    <w:basedOn w:val="DefaultParagraphFont"/>
    <w:uiPriority w:val="99"/>
    <w:unhideWhenUsed/>
    <w:rsid w:val="006F3B51"/>
    <w:rPr>
      <w:color w:val="0563C1" w:themeColor="hyperlink"/>
      <w:u w:val="single"/>
    </w:rPr>
  </w:style>
  <w:style w:type="character" w:styleId="UnresolvedMention">
    <w:name w:val="Unresolved Mention"/>
    <w:basedOn w:val="DefaultParagraphFont"/>
    <w:uiPriority w:val="99"/>
    <w:semiHidden/>
    <w:unhideWhenUsed/>
    <w:rsid w:val="006F3B51"/>
    <w:rPr>
      <w:color w:val="605E5C"/>
      <w:shd w:val="clear" w:color="auto" w:fill="E1DFDD"/>
    </w:rPr>
  </w:style>
  <w:style w:type="paragraph" w:styleId="Header">
    <w:name w:val="header"/>
    <w:basedOn w:val="Normal"/>
    <w:link w:val="HeaderChar"/>
    <w:uiPriority w:val="99"/>
    <w:unhideWhenUsed/>
    <w:rsid w:val="000F3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78E"/>
  </w:style>
  <w:style w:type="paragraph" w:styleId="Footer">
    <w:name w:val="footer"/>
    <w:basedOn w:val="Normal"/>
    <w:link w:val="FooterChar"/>
    <w:uiPriority w:val="99"/>
    <w:unhideWhenUsed/>
    <w:rsid w:val="000F3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836906">
      <w:bodyDiv w:val="1"/>
      <w:marLeft w:val="0"/>
      <w:marRight w:val="0"/>
      <w:marTop w:val="0"/>
      <w:marBottom w:val="0"/>
      <w:divBdr>
        <w:top w:val="none" w:sz="0" w:space="0" w:color="auto"/>
        <w:left w:val="none" w:sz="0" w:space="0" w:color="auto"/>
        <w:bottom w:val="none" w:sz="0" w:space="0" w:color="auto"/>
        <w:right w:val="none" w:sz="0" w:space="0" w:color="auto"/>
      </w:divBdr>
    </w:div>
    <w:div w:id="1478914015">
      <w:bodyDiv w:val="1"/>
      <w:marLeft w:val="0"/>
      <w:marRight w:val="0"/>
      <w:marTop w:val="0"/>
      <w:marBottom w:val="0"/>
      <w:divBdr>
        <w:top w:val="none" w:sz="0" w:space="0" w:color="auto"/>
        <w:left w:val="none" w:sz="0" w:space="0" w:color="auto"/>
        <w:bottom w:val="none" w:sz="0" w:space="0" w:color="auto"/>
        <w:right w:val="none" w:sz="0" w:space="0" w:color="auto"/>
      </w:divBdr>
    </w:div>
    <w:div w:id="176160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arketfinder.thinkwithgoogle.com/intl/en/guide/ingram-china-guide/#market-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12</Pages>
  <Words>3181</Words>
  <Characters>18133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2020-12-09T20:35:00Z</dcterms:created>
  <dcterms:modified xsi:type="dcterms:W3CDTF">2020-12-10T03:57:00Z</dcterms:modified>
</cp:coreProperties>
</file>